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876CB" w14:textId="5199C3A8" w:rsidR="008E000B" w:rsidRDefault="009D71E8" w:rsidP="00537196">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5510EE">
        <w:t xml:space="preserve"> – Tottington High School</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4395CD51" w:rsidR="002940F3" w:rsidRDefault="00A316E7">
            <w:pPr>
              <w:pStyle w:val="TableRow"/>
            </w:pPr>
            <w:r>
              <w:t>939</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06C323F3" w:rsidR="002940F3" w:rsidRPr="00A35620" w:rsidRDefault="00A316E7">
            <w:pPr>
              <w:pStyle w:val="TableRow"/>
              <w:rPr>
                <w:color w:val="FF0000"/>
              </w:rPr>
            </w:pPr>
            <w:r>
              <w:t>27.5</w:t>
            </w:r>
            <w:r w:rsidR="005510EE">
              <w:t>%</w:t>
            </w:r>
            <w:r w:rsidR="00A35620">
              <w:rPr>
                <w:color w:val="FF0000"/>
              </w:rPr>
              <w:t xml:space="preserve"> </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5D6AEE08" w:rsidR="002940F3" w:rsidRDefault="002940F3" w:rsidP="005510EE">
            <w:pPr>
              <w:pStyle w:val="TableRow"/>
            </w:pPr>
            <w:r>
              <w:t xml:space="preserve">Academic year/years that our current pupil premium strategy plan covers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AB8CD6" w14:textId="7AA3D4EB" w:rsidR="002940F3" w:rsidRDefault="00E8511B">
            <w:pPr>
              <w:pStyle w:val="TableRow"/>
            </w:pPr>
            <w:r>
              <w:t>2022/</w:t>
            </w:r>
            <w:r w:rsidR="005510EE">
              <w:t>2023</w:t>
            </w:r>
          </w:p>
          <w:p w14:paraId="2A7D54BF" w14:textId="08DC0550" w:rsidR="00A35620" w:rsidRDefault="00E8511B" w:rsidP="00A35620">
            <w:pPr>
              <w:pStyle w:val="TableRow"/>
            </w:pPr>
            <w:r w:rsidRPr="00A316E7">
              <w:rPr>
                <w:color w:val="auto"/>
              </w:rPr>
              <w:t>2023/</w:t>
            </w:r>
            <w:r w:rsidR="000706DB" w:rsidRPr="00A316E7">
              <w:rPr>
                <w:color w:val="auto"/>
              </w:rPr>
              <w:t>2024</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24F5B591" w:rsidR="002940F3" w:rsidRDefault="001066FE">
            <w:pPr>
              <w:pStyle w:val="TableRow"/>
            </w:pPr>
            <w:r>
              <w:t>November 2022</w:t>
            </w:r>
          </w:p>
        </w:tc>
      </w:tr>
      <w:tr w:rsidR="00A316E7" w14:paraId="4DD7B09E"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F425FE" w14:textId="07F54D79" w:rsidR="00A316E7" w:rsidRDefault="00A316E7" w:rsidP="00A316E7">
            <w:pPr>
              <w:pStyle w:val="TableRow"/>
              <w:rPr>
                <w:szCs w:val="22"/>
              </w:rPr>
            </w:pPr>
            <w:r>
              <w:rPr>
                <w:szCs w:val="22"/>
              </w:rPr>
              <w:t>Date this statement was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6272B8" w14:textId="63361ECB" w:rsidR="00A316E7" w:rsidRDefault="00A316E7" w:rsidP="00A316E7">
            <w:pPr>
              <w:pStyle w:val="TableRow"/>
            </w:pPr>
            <w:r>
              <w:t>September 2023</w:t>
            </w:r>
          </w:p>
        </w:tc>
      </w:tr>
      <w:tr w:rsidR="00A316E7"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63674241" w:rsidR="00A316E7" w:rsidRDefault="00A316E7" w:rsidP="00A316E7">
            <w:pPr>
              <w:pStyle w:val="TableRow"/>
            </w:pPr>
            <w:r>
              <w:rPr>
                <w:szCs w:val="22"/>
              </w:rPr>
              <w:t>Date on which it will be next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6B714D76" w:rsidR="00A316E7" w:rsidRDefault="00A316E7" w:rsidP="00A316E7">
            <w:pPr>
              <w:pStyle w:val="TableRow"/>
            </w:pPr>
            <w:r>
              <w:t>September 2024</w:t>
            </w:r>
          </w:p>
        </w:tc>
      </w:tr>
      <w:tr w:rsidR="00A316E7"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A316E7" w:rsidRDefault="00A316E7" w:rsidP="00A316E7">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3070CA6C" w:rsidR="00A316E7" w:rsidRDefault="00A316E7" w:rsidP="00A316E7">
            <w:pPr>
              <w:pStyle w:val="TableRow"/>
            </w:pPr>
            <w:r>
              <w:t>K Gardner - Headteacher</w:t>
            </w:r>
          </w:p>
        </w:tc>
      </w:tr>
      <w:tr w:rsidR="00A316E7"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A316E7" w:rsidRDefault="00A316E7" w:rsidP="00A316E7">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29702670" w:rsidR="00A316E7" w:rsidRDefault="00A316E7" w:rsidP="00A316E7">
            <w:pPr>
              <w:pStyle w:val="TableRow"/>
            </w:pPr>
            <w:r>
              <w:t>J Burgoyne – Assistant Headteacher</w:t>
            </w:r>
          </w:p>
        </w:tc>
      </w:tr>
      <w:tr w:rsidR="00A316E7"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A316E7" w:rsidRDefault="00A316E7" w:rsidP="00A316E7">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54DE5E4E" w:rsidR="00A316E7" w:rsidRDefault="00A316E7" w:rsidP="00A316E7">
            <w:pPr>
              <w:pStyle w:val="TableRow"/>
            </w:pPr>
            <w:r>
              <w:t>J Turner – Academy Council link</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4A064351" w:rsidR="00E66558" w:rsidRPr="007516E5" w:rsidRDefault="009D71E8">
            <w:pPr>
              <w:pStyle w:val="TableRow"/>
              <w:rPr>
                <w:highlight w:val="yellow"/>
              </w:rPr>
            </w:pPr>
            <w:r w:rsidRPr="00A316E7">
              <w:t>£</w:t>
            </w:r>
            <w:r w:rsidR="00A316E7">
              <w:t>259,785</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12FABCCA" w:rsidR="00E66558" w:rsidRPr="007516E5" w:rsidRDefault="00A316E7">
            <w:pPr>
              <w:pStyle w:val="TableRow"/>
              <w:rPr>
                <w:highlight w:val="yellow"/>
              </w:rPr>
            </w:pPr>
            <w:r>
              <w:t>N/A</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2B1FF3D1" w:rsidR="00E66558" w:rsidRPr="007516E5" w:rsidRDefault="009D71E8">
            <w:pPr>
              <w:pStyle w:val="TableRow"/>
              <w:rPr>
                <w:highlight w:val="yellow"/>
              </w:rPr>
            </w:pPr>
            <w:r w:rsidRPr="00A316E7">
              <w:t>£</w:t>
            </w:r>
            <w:r w:rsidR="005510EE" w:rsidRPr="00A316E7">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21DAC447" w:rsidR="00E66558" w:rsidRPr="007516E5" w:rsidRDefault="009D71E8">
            <w:pPr>
              <w:pStyle w:val="TableRow"/>
              <w:rPr>
                <w:highlight w:val="yellow"/>
              </w:rPr>
            </w:pPr>
            <w:r w:rsidRPr="00A316E7">
              <w:t>£</w:t>
            </w:r>
            <w:r w:rsidR="00A316E7" w:rsidRPr="00A316E7">
              <w:t>259,78</w:t>
            </w:r>
            <w:r w:rsidR="005510EE" w:rsidRPr="00A316E7">
              <w:t>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73ACC" w14:textId="4E7F61C4" w:rsidR="000275B5" w:rsidRDefault="000275B5" w:rsidP="000275B5">
            <w:pPr>
              <w:pStyle w:val="BodyText"/>
              <w:ind w:right="461"/>
            </w:pPr>
            <w:r>
              <w:t>Tottington High School serves a polarised area; some of the areas that we serve are</w:t>
            </w:r>
            <w:r>
              <w:rPr>
                <w:spacing w:val="1"/>
              </w:rPr>
              <w:t xml:space="preserve"> </w:t>
            </w:r>
            <w:r>
              <w:t>affluent and some of our families by contrast, face very significant challenge. The level of</w:t>
            </w:r>
            <w:r w:rsidR="007516E5">
              <w:t xml:space="preserve"> </w:t>
            </w:r>
            <w:r>
              <w:rPr>
                <w:spacing w:val="-64"/>
              </w:rPr>
              <w:t xml:space="preserve"> </w:t>
            </w:r>
            <w:r>
              <w:t>challenge</w:t>
            </w:r>
            <w:r>
              <w:rPr>
                <w:spacing w:val="-2"/>
              </w:rPr>
              <w:t xml:space="preserve"> </w:t>
            </w:r>
            <w:r>
              <w:t>is</w:t>
            </w:r>
            <w:r>
              <w:rPr>
                <w:spacing w:val="-3"/>
              </w:rPr>
              <w:t xml:space="preserve"> </w:t>
            </w:r>
            <w:r>
              <w:t>increasing</w:t>
            </w:r>
            <w:r>
              <w:rPr>
                <w:spacing w:val="-3"/>
              </w:rPr>
              <w:t xml:space="preserve"> </w:t>
            </w:r>
            <w:r>
              <w:t>year-on-year</w:t>
            </w:r>
            <w:r>
              <w:rPr>
                <w:spacing w:val="-2"/>
              </w:rPr>
              <w:t xml:space="preserve"> </w:t>
            </w:r>
            <w:r>
              <w:t>and</w:t>
            </w:r>
            <w:r>
              <w:rPr>
                <w:spacing w:val="-3"/>
              </w:rPr>
              <w:t xml:space="preserve"> </w:t>
            </w:r>
            <w:r>
              <w:t>more</w:t>
            </w:r>
            <w:r>
              <w:rPr>
                <w:spacing w:val="-2"/>
              </w:rPr>
              <w:t xml:space="preserve"> </w:t>
            </w:r>
            <w:r>
              <w:t>of</w:t>
            </w:r>
            <w:r>
              <w:rPr>
                <w:spacing w:val="-3"/>
              </w:rPr>
              <w:t xml:space="preserve"> </w:t>
            </w:r>
            <w:r>
              <w:t>our</w:t>
            </w:r>
            <w:r>
              <w:rPr>
                <w:spacing w:val="-3"/>
              </w:rPr>
              <w:t xml:space="preserve"> </w:t>
            </w:r>
            <w:r>
              <w:t>families</w:t>
            </w:r>
            <w:r>
              <w:rPr>
                <w:spacing w:val="-2"/>
              </w:rPr>
              <w:t xml:space="preserve"> </w:t>
            </w:r>
            <w:r>
              <w:t>are</w:t>
            </w:r>
            <w:r>
              <w:rPr>
                <w:spacing w:val="-3"/>
              </w:rPr>
              <w:t xml:space="preserve"> </w:t>
            </w:r>
            <w:r>
              <w:t>facing</w:t>
            </w:r>
            <w:r>
              <w:rPr>
                <w:spacing w:val="-2"/>
              </w:rPr>
              <w:t xml:space="preserve"> </w:t>
            </w:r>
            <w:r>
              <w:t>disadvantage.</w:t>
            </w:r>
          </w:p>
          <w:p w14:paraId="2B27B035" w14:textId="71B172C4" w:rsidR="00212B44" w:rsidRDefault="00870EAE" w:rsidP="000275B5">
            <w:r>
              <w:t>At Tottington High o</w:t>
            </w:r>
            <w:r w:rsidR="00212B44">
              <w:t>ur intention</w:t>
            </w:r>
            <w:r>
              <w:t xml:space="preserve"> is that all pupils, irrespective of their background or the challenges they face, make good progress and achieve high attainment across all subject areas.</w:t>
            </w:r>
            <w:r w:rsidR="00212B44">
              <w:t xml:space="preserve"> </w:t>
            </w:r>
            <w:r>
              <w:t xml:space="preserve">We encourage all students to </w:t>
            </w:r>
            <w:r w:rsidR="00212B44">
              <w:t xml:space="preserve">be ambitious, independent learners providing them with the tools </w:t>
            </w:r>
            <w:r>
              <w:t xml:space="preserve">they need </w:t>
            </w:r>
            <w:r w:rsidR="00212B44">
              <w:t xml:space="preserve">to fulfil their potential. We have a broad and balanced curriculum that challenges students and promotes a love of learning and we strive to promote positive wellbeing for all. </w:t>
            </w:r>
          </w:p>
          <w:p w14:paraId="4F0420B7" w14:textId="77777777" w:rsidR="00212B44" w:rsidRDefault="00212B44" w:rsidP="00212B44">
            <w:pPr>
              <w:ind w:left="360"/>
            </w:pPr>
            <w:r>
              <w:t xml:space="preserve">Our key priorities for disadvantaged pupils are: </w:t>
            </w:r>
          </w:p>
          <w:p w14:paraId="733BE885" w14:textId="56318CDB" w:rsidR="00D97D2D" w:rsidRDefault="00212B44" w:rsidP="00A316E7">
            <w:pPr>
              <w:pStyle w:val="ListParagraph"/>
              <w:numPr>
                <w:ilvl w:val="0"/>
                <w:numId w:val="15"/>
              </w:numPr>
              <w:rPr>
                <w:color w:val="auto"/>
              </w:rPr>
            </w:pPr>
            <w:r w:rsidRPr="00A316E7">
              <w:rPr>
                <w:color w:val="auto"/>
              </w:rPr>
              <w:t xml:space="preserve">Continue to raise attainment and academic progress through a challenging curriculum </w:t>
            </w:r>
            <w:r w:rsidR="00A35620" w:rsidRPr="00A316E7">
              <w:rPr>
                <w:color w:val="auto"/>
              </w:rPr>
              <w:t xml:space="preserve">design </w:t>
            </w:r>
            <w:r w:rsidRPr="00A316E7">
              <w:rPr>
                <w:color w:val="auto"/>
              </w:rPr>
              <w:t xml:space="preserve">for all. </w:t>
            </w:r>
          </w:p>
          <w:p w14:paraId="535131CD" w14:textId="2E431AB4" w:rsidR="00D97D2D" w:rsidRPr="00A316E7" w:rsidRDefault="00D97D2D" w:rsidP="00A316E7">
            <w:pPr>
              <w:pStyle w:val="ListParagraph"/>
              <w:numPr>
                <w:ilvl w:val="0"/>
                <w:numId w:val="15"/>
              </w:numPr>
              <w:rPr>
                <w:color w:val="auto"/>
              </w:rPr>
            </w:pPr>
            <w:r w:rsidRPr="00A316E7">
              <w:rPr>
                <w:rFonts w:cs="Arial"/>
                <w:color w:val="auto"/>
                <w:shd w:val="clear" w:color="auto" w:fill="FFFFFF"/>
              </w:rPr>
              <w:t xml:space="preserve">Explore aspects of pedagogy that have a large impact on pupil progress students such as responsive teaching, metacognition and reading. </w:t>
            </w:r>
          </w:p>
          <w:p w14:paraId="7EAE58CE" w14:textId="451667D6" w:rsidR="00212B44" w:rsidRDefault="0026540D" w:rsidP="00A316E7">
            <w:pPr>
              <w:pStyle w:val="ListParagraph"/>
              <w:numPr>
                <w:ilvl w:val="0"/>
                <w:numId w:val="15"/>
              </w:numPr>
              <w:rPr>
                <w:color w:val="auto"/>
              </w:rPr>
            </w:pPr>
            <w:r w:rsidRPr="00A316E7">
              <w:rPr>
                <w:color w:val="auto"/>
              </w:rPr>
              <w:t>Create</w:t>
            </w:r>
            <w:r w:rsidR="00212B44" w:rsidRPr="00A316E7">
              <w:rPr>
                <w:color w:val="auto"/>
              </w:rPr>
              <w:t xml:space="preserve"> a whole school culture of literacy and independent learning.</w:t>
            </w:r>
            <w:r w:rsidRPr="00A316E7">
              <w:rPr>
                <w:color w:val="auto"/>
              </w:rPr>
              <w:t xml:space="preserve"> Focusing on the development of reading </w:t>
            </w:r>
            <w:r w:rsidR="00047FEB" w:rsidRPr="00A316E7">
              <w:rPr>
                <w:color w:val="auto"/>
              </w:rPr>
              <w:t>fluency at KS3</w:t>
            </w:r>
            <w:r w:rsidR="007F1EF9" w:rsidRPr="00A316E7">
              <w:rPr>
                <w:color w:val="auto"/>
              </w:rPr>
              <w:t xml:space="preserve"> through introduction of Guided reading, small group interventions and regular </w:t>
            </w:r>
            <w:r w:rsidR="007516E5" w:rsidRPr="00A316E7">
              <w:rPr>
                <w:color w:val="auto"/>
              </w:rPr>
              <w:t>Sparx reading diagnostic work</w:t>
            </w:r>
            <w:r w:rsidR="007F1EF9" w:rsidRPr="00A316E7">
              <w:rPr>
                <w:color w:val="auto"/>
              </w:rPr>
              <w:t xml:space="preserve">. </w:t>
            </w:r>
          </w:p>
          <w:p w14:paraId="6B6CB0EE" w14:textId="680B30A3" w:rsidR="00212B44" w:rsidRPr="00A316E7" w:rsidRDefault="00212B44" w:rsidP="00A316E7">
            <w:pPr>
              <w:pStyle w:val="ListParagraph"/>
              <w:numPr>
                <w:ilvl w:val="0"/>
                <w:numId w:val="15"/>
              </w:numPr>
              <w:rPr>
                <w:color w:val="auto"/>
              </w:rPr>
            </w:pPr>
            <w:r>
              <w:t>Support higher at</w:t>
            </w:r>
            <w:r w:rsidR="00D7798B">
              <w:t>tainment and progress in Maths and Science.</w:t>
            </w:r>
          </w:p>
          <w:p w14:paraId="10F51FBE" w14:textId="2B5A3166" w:rsidR="00212B44" w:rsidRPr="00A316E7" w:rsidRDefault="00212B44" w:rsidP="00A316E7">
            <w:pPr>
              <w:pStyle w:val="ListParagraph"/>
              <w:numPr>
                <w:ilvl w:val="0"/>
                <w:numId w:val="15"/>
              </w:numPr>
              <w:rPr>
                <w:color w:val="auto"/>
              </w:rPr>
            </w:pPr>
            <w:r>
              <w:t xml:space="preserve">Improve outcomes and narrow gaps between disadvantaged students </w:t>
            </w:r>
            <w:r w:rsidR="00F05A79">
              <w:t>by providing early interventions.</w:t>
            </w:r>
          </w:p>
          <w:p w14:paraId="3259277D" w14:textId="1DE2EF8F" w:rsidR="00212B44" w:rsidRPr="00A316E7" w:rsidRDefault="000706DB" w:rsidP="00A316E7">
            <w:pPr>
              <w:pStyle w:val="ListParagraph"/>
              <w:numPr>
                <w:ilvl w:val="0"/>
                <w:numId w:val="15"/>
              </w:numPr>
              <w:rPr>
                <w:color w:val="auto"/>
              </w:rPr>
            </w:pPr>
            <w:r>
              <w:t>Ensure d</w:t>
            </w:r>
            <w:r w:rsidR="00212B44">
              <w:t xml:space="preserve">isadvantaged students are represented across all aspects of student voice, including School Council, Prefects and other leadership roles. </w:t>
            </w:r>
          </w:p>
          <w:p w14:paraId="5B92134C" w14:textId="3C298AC1" w:rsidR="00E66558" w:rsidRDefault="00A35620" w:rsidP="00A316E7">
            <w:pPr>
              <w:pStyle w:val="ListParagraph"/>
              <w:numPr>
                <w:ilvl w:val="0"/>
                <w:numId w:val="15"/>
              </w:numPr>
              <w:rPr>
                <w:color w:val="auto"/>
              </w:rPr>
            </w:pPr>
            <w:r w:rsidRPr="00A316E7">
              <w:rPr>
                <w:color w:val="auto"/>
              </w:rPr>
              <w:t xml:space="preserve">Introduce and develop </w:t>
            </w:r>
            <w:r w:rsidR="0026540D" w:rsidRPr="00A316E7">
              <w:rPr>
                <w:color w:val="auto"/>
              </w:rPr>
              <w:t>an innovative vertical</w:t>
            </w:r>
            <w:r w:rsidRPr="00A316E7">
              <w:rPr>
                <w:color w:val="auto"/>
              </w:rPr>
              <w:t xml:space="preserve"> </w:t>
            </w:r>
            <w:r w:rsidR="0026540D" w:rsidRPr="00A316E7">
              <w:rPr>
                <w:color w:val="auto"/>
              </w:rPr>
              <w:t>careers h</w:t>
            </w:r>
            <w:r w:rsidRPr="00A316E7">
              <w:rPr>
                <w:color w:val="auto"/>
              </w:rPr>
              <w:t>ub syst</w:t>
            </w:r>
            <w:r w:rsidR="0026540D" w:rsidRPr="00A316E7">
              <w:rPr>
                <w:color w:val="auto"/>
              </w:rPr>
              <w:t>em to improve pupils’ aspirations</w:t>
            </w:r>
            <w:r w:rsidR="007516E5" w:rsidRPr="00A316E7">
              <w:rPr>
                <w:color w:val="auto"/>
              </w:rPr>
              <w:t xml:space="preserve"> and</w:t>
            </w:r>
            <w:r w:rsidR="0026540D" w:rsidRPr="00A316E7">
              <w:rPr>
                <w:color w:val="auto"/>
              </w:rPr>
              <w:t xml:space="preserve"> promote both a technical and academic pathway to a variety of career destinations. </w:t>
            </w:r>
            <w:r w:rsidR="007516E5" w:rsidRPr="00A316E7">
              <w:rPr>
                <w:color w:val="auto"/>
              </w:rPr>
              <w:t xml:space="preserve"> This is inclusive of </w:t>
            </w:r>
            <w:r w:rsidR="00212B44" w:rsidRPr="00A316E7">
              <w:rPr>
                <w:color w:val="auto"/>
              </w:rPr>
              <w:t xml:space="preserve">an effective careers strategy to raise expectations. </w:t>
            </w:r>
          </w:p>
          <w:p w14:paraId="512DBCD4" w14:textId="24768194" w:rsidR="00A35620" w:rsidRDefault="00A35620" w:rsidP="00A316E7">
            <w:pPr>
              <w:pStyle w:val="ListParagraph"/>
              <w:numPr>
                <w:ilvl w:val="0"/>
                <w:numId w:val="15"/>
              </w:numPr>
              <w:rPr>
                <w:color w:val="auto"/>
              </w:rPr>
            </w:pPr>
            <w:r w:rsidRPr="00A316E7">
              <w:rPr>
                <w:color w:val="auto"/>
              </w:rPr>
              <w:t xml:space="preserve">Ensure our key worker attendance team build strong relationships with parents and careers of our disadvantaged students to raise attendance and punctuality to school. </w:t>
            </w:r>
          </w:p>
          <w:p w14:paraId="2F1CC9E7" w14:textId="0516B16E" w:rsidR="000706DB" w:rsidRPr="00A316E7" w:rsidRDefault="000706DB" w:rsidP="00A316E7">
            <w:pPr>
              <w:pStyle w:val="ListParagraph"/>
              <w:numPr>
                <w:ilvl w:val="0"/>
                <w:numId w:val="15"/>
              </w:numPr>
              <w:rPr>
                <w:color w:val="auto"/>
              </w:rPr>
            </w:pPr>
            <w:r>
              <w:t>To raise attendance of our disadvantaged students and build relationship</w:t>
            </w:r>
            <w:r w:rsidR="00673B3F">
              <w:t>s</w:t>
            </w:r>
            <w:r>
              <w:t xml:space="preserve"> with parents and </w:t>
            </w:r>
            <w:r w:rsidR="00312509">
              <w:t>carers.</w:t>
            </w:r>
            <w:r w:rsidR="00A35620">
              <w:t xml:space="preserve"> </w:t>
            </w:r>
          </w:p>
          <w:p w14:paraId="2A7D54E9" w14:textId="13C645B8" w:rsidR="000275B5" w:rsidRPr="00212B44" w:rsidRDefault="000275B5" w:rsidP="000275B5">
            <w:pPr>
              <w:rPr>
                <w:i/>
                <w:iCs/>
              </w:rPr>
            </w:pPr>
            <w:r w:rsidRPr="00A50F03">
              <w:rPr>
                <w:rFonts w:cs="Arial"/>
                <w:iCs/>
                <w:color w:val="auto"/>
                <w:lang w:val="en-US"/>
              </w:rPr>
              <w:t>Our approach will be responsive to common challenges and individual needs, rooted i</w:t>
            </w:r>
            <w:r>
              <w:rPr>
                <w:rFonts w:cs="Arial"/>
                <w:iCs/>
                <w:color w:val="auto"/>
                <w:lang w:val="en-US"/>
              </w:rPr>
              <w:t>n robust diagnostic assessment and data analysis.</w:t>
            </w:r>
          </w:p>
        </w:tc>
      </w:tr>
    </w:tbl>
    <w:p w14:paraId="2A7D54EB" w14:textId="126F7F8F" w:rsidR="00E66558" w:rsidRDefault="009D71E8">
      <w:pPr>
        <w:pStyle w:val="Heading2"/>
        <w:spacing w:before="600"/>
      </w:pPr>
      <w:r>
        <w:lastRenderedPageBreak/>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3FE3F64" w:rsidR="00E66558" w:rsidRDefault="005B4428" w:rsidP="00A9270D">
            <w:pPr>
              <w:pStyle w:val="TableRowCentered"/>
              <w:jc w:val="left"/>
            </w:pPr>
            <w:r w:rsidRPr="00A316E7">
              <w:rPr>
                <w:color w:val="auto"/>
              </w:rPr>
              <w:t xml:space="preserve">Our assessments, observations and discussions with students and families suggest </w:t>
            </w:r>
            <w:r w:rsidR="007516E5" w:rsidRPr="00A316E7">
              <w:rPr>
                <w:color w:val="auto"/>
              </w:rPr>
              <w:t>that attendance continues to be compromised by a ran</w:t>
            </w:r>
            <w:r w:rsidR="00A316E7">
              <w:rPr>
                <w:color w:val="auto"/>
              </w:rPr>
              <w:t xml:space="preserve">ge of factors, </w:t>
            </w:r>
            <w:r w:rsidR="00A9270D">
              <w:rPr>
                <w:color w:val="auto"/>
              </w:rPr>
              <w:t xml:space="preserve">SEMH and a continuance of </w:t>
            </w:r>
            <w:r w:rsidR="007516E5" w:rsidRPr="00A316E7">
              <w:rPr>
                <w:color w:val="auto"/>
              </w:rPr>
              <w:t>COVID-19</w:t>
            </w:r>
            <w:r w:rsidR="00A9270D">
              <w:rPr>
                <w:color w:val="auto"/>
              </w:rPr>
              <w:t xml:space="preserve"> factors, for example</w:t>
            </w:r>
            <w:r w:rsidR="007516E5" w:rsidRPr="00A316E7">
              <w:rPr>
                <w:color w:val="auto"/>
              </w:rPr>
              <w:t>.  SA accounts for significant deficits in progress and attainment across this cohort</w:t>
            </w:r>
            <w:r w:rsidR="000706DB" w:rsidRPr="00A316E7">
              <w:rPr>
                <w:color w:val="auto"/>
              </w:rPr>
              <w: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7089D33" w:rsidR="00E66558" w:rsidRPr="00673B3F" w:rsidRDefault="00EF271F" w:rsidP="00A9270D">
            <w:pPr>
              <w:pStyle w:val="TableRowCentered"/>
              <w:jc w:val="left"/>
              <w:rPr>
                <w:color w:val="FF0000"/>
                <w:sz w:val="22"/>
                <w:szCs w:val="22"/>
              </w:rPr>
            </w:pPr>
            <w:r>
              <w:t xml:space="preserve">Our analysis indicates that students from disadvantaged backgrounds are less likely to have effective educational support from parents and are more likely to struggle with </w:t>
            </w:r>
            <w:r w:rsidR="00A9270D">
              <w:t>independent study</w:t>
            </w:r>
            <w:r>
              <w:t xml:space="preserve">, revision and </w:t>
            </w:r>
            <w:r w:rsidR="00A9270D">
              <w:t>motivation to achieve</w:t>
            </w:r>
            <w:r>
              <w:t>.</w:t>
            </w:r>
            <w:r w:rsidR="004B6132">
              <w:t xml:space="preserve">  </w:t>
            </w:r>
            <w:r w:rsidR="00A9270D">
              <w:t xml:space="preserve">Our data supports that these students engage less positively with learning than their non-disadvantaged peers.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B9962A5" w:rsidR="00E66558" w:rsidRDefault="00673B3F" w:rsidP="00EF271F">
            <w:pPr>
              <w:pStyle w:val="TableRowCentered"/>
              <w:jc w:val="left"/>
              <w:rPr>
                <w:sz w:val="22"/>
                <w:szCs w:val="22"/>
              </w:rPr>
            </w:pPr>
            <w:r w:rsidRPr="00A9270D">
              <w:rPr>
                <w:color w:val="auto"/>
              </w:rPr>
              <w:t>Discussions with pupils and survey data indicates that this cohort can struggle to identify the relevancy of school to post-16 aspirations and careers and that their understanding of these pathways is less developed than their non-disadvantaged peers.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C2AD61C" w:rsidR="00E66558" w:rsidRPr="007F1EF9" w:rsidRDefault="000706DB" w:rsidP="00A9270D">
            <w:pPr>
              <w:autoSpaceDN/>
              <w:spacing w:before="60" w:line="240" w:lineRule="auto"/>
              <w:ind w:left="35" w:right="57"/>
              <w:rPr>
                <w:color w:val="auto"/>
              </w:rPr>
            </w:pPr>
            <w:r w:rsidRPr="00A9270D">
              <w:rPr>
                <w:color w:val="auto"/>
              </w:rPr>
              <w:t xml:space="preserve">Assessments, observations and discussion with KS3 pupils indicate that disadvantaged pupils generally have lower </w:t>
            </w:r>
            <w:r w:rsidR="00673B3F" w:rsidRPr="00A9270D">
              <w:rPr>
                <w:color w:val="auto"/>
              </w:rPr>
              <w:t>reading ages</w:t>
            </w:r>
            <w:r w:rsidRPr="00A9270D">
              <w:rPr>
                <w:color w:val="auto"/>
              </w:rPr>
              <w:t xml:space="preserve"> than </w:t>
            </w:r>
            <w:r w:rsidR="00673B3F" w:rsidRPr="00A9270D">
              <w:rPr>
                <w:color w:val="auto"/>
              </w:rPr>
              <w:t xml:space="preserve">non-disadvantaged </w:t>
            </w:r>
            <w:r w:rsidRPr="00A9270D">
              <w:rPr>
                <w:color w:val="auto"/>
              </w:rPr>
              <w:t>peers. This impacts their progress in all subjects</w:t>
            </w:r>
            <w:r w:rsidR="004B6132" w:rsidRPr="00A9270D">
              <w:rPr>
                <w:color w:val="auto"/>
              </w:rPr>
              <w:t xml:space="preserve"> and can lead to disengagement across their five years</w:t>
            </w:r>
            <w:r w:rsidRPr="00A9270D">
              <w:rPr>
                <w:color w:val="auto"/>
              </w:rPr>
              <w:t>.</w:t>
            </w:r>
            <w:r w:rsidR="00A9270D">
              <w:rPr>
                <w:color w:val="auto"/>
              </w:rPr>
              <w:t xml:space="preserve">  Furthermore, outcomes for disadvantaged</w:t>
            </w:r>
            <w:r w:rsidR="002F0F32" w:rsidRPr="00A9270D">
              <w:rPr>
                <w:color w:val="auto"/>
              </w:rPr>
              <w:t xml:space="preserve"> students remain poorer than their non-disadvantaged peers.</w:t>
            </w:r>
          </w:p>
        </w:tc>
      </w:tr>
      <w:tr w:rsidR="007F1EF9" w14:paraId="4C743D7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9CB17" w14:textId="22666D00" w:rsidR="007F1EF9" w:rsidRDefault="007F1EF9">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127E5" w14:textId="0EA47191" w:rsidR="007F1EF9" w:rsidRPr="00A50F03" w:rsidRDefault="007F1EF9" w:rsidP="007F1EF9">
            <w:pPr>
              <w:autoSpaceDN/>
              <w:spacing w:before="60" w:line="240" w:lineRule="auto"/>
              <w:ind w:left="35" w:right="57"/>
              <w:rPr>
                <w:color w:val="auto"/>
              </w:rPr>
            </w:pPr>
            <w:r w:rsidRPr="00A9270D">
              <w:rPr>
                <w:color w:val="auto"/>
              </w:rPr>
              <w:t xml:space="preserve">Our analysis suggests that students </w:t>
            </w:r>
            <w:r w:rsidR="004B6132" w:rsidRPr="00A9270D">
              <w:rPr>
                <w:color w:val="auto"/>
              </w:rPr>
              <w:t xml:space="preserve">from disadvantaged backgrounds do not engage in extra-curricular opportunities and are consequently less </w:t>
            </w:r>
            <w:r w:rsidR="00A9270D">
              <w:rPr>
                <w:color w:val="auto"/>
              </w:rPr>
              <w:t>engaged with</w:t>
            </w:r>
            <w:r w:rsidR="004B6132" w:rsidRPr="00A9270D">
              <w:rPr>
                <w:color w:val="auto"/>
              </w:rPr>
              <w:t xml:space="preserve"> the school community</w:t>
            </w:r>
            <w:r w:rsidR="00917491" w:rsidRPr="00A9270D">
              <w:rPr>
                <w:color w:val="auto"/>
              </w:rPr>
              <w:t>.</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4DA18" w14:textId="77777777" w:rsidR="00E66558" w:rsidRPr="00A9270D" w:rsidRDefault="006F0A8A">
            <w:pPr>
              <w:pStyle w:val="TableRow"/>
              <w:rPr>
                <w:color w:val="auto"/>
              </w:rPr>
            </w:pPr>
            <w:r w:rsidRPr="00A9270D">
              <w:rPr>
                <w:color w:val="auto"/>
              </w:rPr>
              <w:t>Improved reading comprehension among disadvantaged pupils across KS3</w:t>
            </w:r>
            <w:r w:rsidR="00CC100A" w:rsidRPr="00A9270D">
              <w:rPr>
                <w:color w:val="auto"/>
              </w:rPr>
              <w:t xml:space="preserve"> through use of Fresh Start intervention, guided reading programmes, Sparx reader and whole school focus on reading.</w:t>
            </w:r>
          </w:p>
          <w:p w14:paraId="2A7D5507" w14:textId="72405864" w:rsidR="00673B3F" w:rsidRDefault="00673B3F" w:rsidP="00673B3F">
            <w:pPr>
              <w:pStyle w:val="TableRow"/>
              <w:ind w:left="0"/>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CF1E" w14:textId="2416BC9C" w:rsidR="00A9270D" w:rsidRDefault="00A9270D">
            <w:pPr>
              <w:pStyle w:val="TableRowCentered"/>
              <w:jc w:val="left"/>
              <w:rPr>
                <w:szCs w:val="24"/>
              </w:rPr>
            </w:pPr>
            <w:r w:rsidRPr="00A9270D">
              <w:rPr>
                <w:szCs w:val="24"/>
              </w:rPr>
              <w:t>Systematic assessment and diagnostic work around reading ages.</w:t>
            </w:r>
          </w:p>
          <w:p w14:paraId="174E69BE" w14:textId="77777777" w:rsidR="00A9270D" w:rsidRPr="00A9270D" w:rsidRDefault="00A9270D">
            <w:pPr>
              <w:pStyle w:val="TableRowCentered"/>
              <w:jc w:val="left"/>
              <w:rPr>
                <w:szCs w:val="24"/>
              </w:rPr>
            </w:pPr>
          </w:p>
          <w:p w14:paraId="7A772AB2" w14:textId="56B251B4" w:rsidR="00E66558" w:rsidRDefault="00A9270D">
            <w:pPr>
              <w:pStyle w:val="TableRowCentered"/>
              <w:jc w:val="left"/>
              <w:rPr>
                <w:szCs w:val="24"/>
              </w:rPr>
            </w:pPr>
            <w:r w:rsidRPr="00A9270D">
              <w:rPr>
                <w:szCs w:val="24"/>
              </w:rPr>
              <w:t>A consistent and fully staffed tiered system of intervention.</w:t>
            </w:r>
          </w:p>
          <w:p w14:paraId="11F538BD" w14:textId="77777777" w:rsidR="00A9270D" w:rsidRPr="00A9270D" w:rsidRDefault="00A9270D">
            <w:pPr>
              <w:pStyle w:val="TableRowCentered"/>
              <w:jc w:val="left"/>
              <w:rPr>
                <w:szCs w:val="24"/>
              </w:rPr>
            </w:pPr>
          </w:p>
          <w:p w14:paraId="112E39D0" w14:textId="04A17B98" w:rsidR="006F0A8A" w:rsidRDefault="006F0A8A">
            <w:pPr>
              <w:pStyle w:val="TableRowCentered"/>
              <w:jc w:val="left"/>
              <w:rPr>
                <w:szCs w:val="24"/>
              </w:rPr>
            </w:pPr>
            <w:r w:rsidRPr="00A9270D">
              <w:rPr>
                <w:szCs w:val="24"/>
              </w:rPr>
              <w:lastRenderedPageBreak/>
              <w:t>KS3 reading interventions</w:t>
            </w:r>
            <w:r w:rsidR="00A9270D" w:rsidRPr="00A9270D">
              <w:rPr>
                <w:szCs w:val="24"/>
              </w:rPr>
              <w:t xml:space="preserve"> delivered through English but evident in whole school pedagogy.</w:t>
            </w:r>
          </w:p>
          <w:p w14:paraId="420F2F77" w14:textId="77777777" w:rsidR="00A9270D" w:rsidRPr="00A9270D" w:rsidRDefault="00A9270D">
            <w:pPr>
              <w:pStyle w:val="TableRowCentered"/>
              <w:jc w:val="left"/>
              <w:rPr>
                <w:szCs w:val="24"/>
              </w:rPr>
            </w:pPr>
          </w:p>
          <w:p w14:paraId="2A7D5508" w14:textId="0A766FA6" w:rsidR="00CC100A" w:rsidRPr="00A9270D" w:rsidRDefault="00CC100A">
            <w:pPr>
              <w:pStyle w:val="TableRowCentered"/>
              <w:jc w:val="left"/>
              <w:rPr>
                <w:color w:val="FF0000"/>
                <w:szCs w:val="24"/>
              </w:rPr>
            </w:pPr>
            <w:r w:rsidRPr="00A9270D">
              <w:rPr>
                <w:color w:val="auto"/>
                <w:szCs w:val="24"/>
              </w:rPr>
              <w:t>RA data to show session on session reductions in gaps between PP and non-disadvantaged students.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4FCA5" w14:textId="19900F0E" w:rsidR="003A618C" w:rsidRDefault="003A618C">
            <w:pPr>
              <w:pStyle w:val="TableRow"/>
              <w:rPr>
                <w:sz w:val="22"/>
                <w:szCs w:val="22"/>
              </w:rPr>
            </w:pPr>
            <w:r w:rsidRPr="00A50F03">
              <w:rPr>
                <w:iCs/>
                <w:color w:val="auto"/>
              </w:rPr>
              <w:lastRenderedPageBreak/>
              <w:t>Improved attainment among disadvantaged pupils across the curriculum at the end of KS4</w:t>
            </w:r>
            <w:r>
              <w:rPr>
                <w:iCs/>
                <w:color w:val="auto"/>
              </w:rPr>
              <w:t>.</w:t>
            </w:r>
          </w:p>
          <w:p w14:paraId="570D4218" w14:textId="77777777" w:rsidR="003A618C" w:rsidRDefault="003A618C">
            <w:pPr>
              <w:pStyle w:val="TableRow"/>
              <w:rPr>
                <w:sz w:val="22"/>
                <w:szCs w:val="22"/>
              </w:rPr>
            </w:pPr>
          </w:p>
          <w:p w14:paraId="32BEB132" w14:textId="77777777" w:rsidR="00E66558" w:rsidRDefault="006F0A8A" w:rsidP="00A9270D">
            <w:pPr>
              <w:pStyle w:val="TableRow"/>
              <w:rPr>
                <w:color w:val="auto"/>
                <w:szCs w:val="22"/>
              </w:rPr>
            </w:pPr>
            <w:r w:rsidRPr="00A9270D">
              <w:rPr>
                <w:color w:val="auto"/>
              </w:rPr>
              <w:t>Effective in class interventions for disadvantaged students</w:t>
            </w:r>
            <w:r w:rsidR="00A9270D" w:rsidRPr="00A9270D">
              <w:rPr>
                <w:color w:val="auto"/>
              </w:rPr>
              <w:t xml:space="preserve"> supported though effective and measured C</w:t>
            </w:r>
            <w:r w:rsidR="00CC100A" w:rsidRPr="00A9270D">
              <w:rPr>
                <w:color w:val="auto"/>
                <w:szCs w:val="22"/>
              </w:rPr>
              <w:t>PD on formative assessment and responsive teaching.</w:t>
            </w:r>
          </w:p>
          <w:p w14:paraId="3693535B" w14:textId="77777777" w:rsidR="00F81F6A" w:rsidRDefault="00F81F6A" w:rsidP="00A9270D">
            <w:pPr>
              <w:pStyle w:val="TableRow"/>
              <w:rPr>
                <w:color w:val="auto"/>
                <w:szCs w:val="22"/>
              </w:rPr>
            </w:pPr>
          </w:p>
          <w:p w14:paraId="2A7D550A" w14:textId="124D3D6B" w:rsidR="00F81F6A" w:rsidRDefault="00F81F6A" w:rsidP="00F81F6A">
            <w:pPr>
              <w:pStyle w:val="TableRow"/>
              <w:ind w:left="0"/>
              <w:rPr>
                <w:sz w:val="22"/>
                <w:szCs w:val="22"/>
              </w:rPr>
            </w:pPr>
            <w:r>
              <w:rPr>
                <w:color w:val="auto"/>
                <w:szCs w:val="22"/>
              </w:rPr>
              <w:t>Continued success for post-16 applications with below national NEET figures across disadvantaged and non-disadvantaged students.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67C79" w14:textId="1DA26EA6" w:rsidR="004B6132" w:rsidRDefault="003A618C" w:rsidP="00CC100A">
            <w:pPr>
              <w:pStyle w:val="TableRowCentered"/>
              <w:jc w:val="left"/>
              <w:rPr>
                <w:color w:val="auto"/>
              </w:rPr>
            </w:pPr>
            <w:r w:rsidRPr="00A9270D">
              <w:rPr>
                <w:color w:val="auto"/>
              </w:rPr>
              <w:t xml:space="preserve">KS4 outcomes in 2023/24 to show that attainment of disadvantaged learners </w:t>
            </w:r>
            <w:r w:rsidR="00CC100A" w:rsidRPr="00A9270D">
              <w:rPr>
                <w:color w:val="auto"/>
              </w:rPr>
              <w:t xml:space="preserve">improves from </w:t>
            </w:r>
            <w:r w:rsidR="00A9270D" w:rsidRPr="00A9270D">
              <w:rPr>
                <w:color w:val="auto"/>
              </w:rPr>
              <w:t>previous year</w:t>
            </w:r>
            <w:r w:rsidR="00F81F6A">
              <w:rPr>
                <w:color w:val="auto"/>
              </w:rPr>
              <w:t>’</w:t>
            </w:r>
            <w:r w:rsidR="00A9270D" w:rsidRPr="00A9270D">
              <w:rPr>
                <w:color w:val="auto"/>
              </w:rPr>
              <w:t>s progress</w:t>
            </w:r>
            <w:r w:rsidRPr="00A9270D">
              <w:rPr>
                <w:color w:val="auto"/>
              </w:rPr>
              <w:t xml:space="preserve">. </w:t>
            </w:r>
          </w:p>
          <w:p w14:paraId="033862A7" w14:textId="77777777" w:rsidR="00A9270D" w:rsidRPr="00A9270D" w:rsidRDefault="00A9270D" w:rsidP="00CC100A">
            <w:pPr>
              <w:pStyle w:val="TableRowCentered"/>
              <w:jc w:val="left"/>
              <w:rPr>
                <w:color w:val="auto"/>
              </w:rPr>
            </w:pPr>
          </w:p>
          <w:p w14:paraId="7EC2EC58" w14:textId="1D76324D" w:rsidR="00CC100A" w:rsidRDefault="00CC100A" w:rsidP="00CC100A">
            <w:pPr>
              <w:pStyle w:val="TableRowCentered"/>
              <w:jc w:val="left"/>
              <w:rPr>
                <w:color w:val="auto"/>
                <w:szCs w:val="22"/>
              </w:rPr>
            </w:pPr>
            <w:r w:rsidRPr="00A9270D">
              <w:rPr>
                <w:color w:val="auto"/>
                <w:szCs w:val="22"/>
              </w:rPr>
              <w:t xml:space="preserve">KS3 outcomes to </w:t>
            </w:r>
            <w:r w:rsidR="00A9270D" w:rsidRPr="00A9270D">
              <w:rPr>
                <w:color w:val="auto"/>
                <w:szCs w:val="22"/>
              </w:rPr>
              <w:t>reflect more pupils achieving on or above target</w:t>
            </w:r>
            <w:r w:rsidRPr="00A9270D">
              <w:rPr>
                <w:color w:val="auto"/>
                <w:szCs w:val="22"/>
              </w:rPr>
              <w:t>.</w:t>
            </w:r>
          </w:p>
          <w:p w14:paraId="5A7476F5" w14:textId="77777777" w:rsidR="00A9270D" w:rsidRPr="00A9270D" w:rsidRDefault="00A9270D" w:rsidP="00CC100A">
            <w:pPr>
              <w:pStyle w:val="TableRowCentered"/>
              <w:jc w:val="left"/>
              <w:rPr>
                <w:color w:val="auto"/>
                <w:szCs w:val="22"/>
              </w:rPr>
            </w:pPr>
          </w:p>
          <w:p w14:paraId="098A9E5B" w14:textId="7961EBB5" w:rsidR="00673B3F" w:rsidRDefault="00A9270D" w:rsidP="00CC100A">
            <w:pPr>
              <w:pStyle w:val="TableRowCentered"/>
              <w:jc w:val="left"/>
              <w:rPr>
                <w:color w:val="auto"/>
                <w:szCs w:val="22"/>
              </w:rPr>
            </w:pPr>
            <w:r w:rsidRPr="00A9270D">
              <w:rPr>
                <w:color w:val="auto"/>
                <w:szCs w:val="22"/>
              </w:rPr>
              <w:t>Departmental policies to clearly specify contextual strategies to support the learning and progress of disadvantaged pupils with implementation clearly evident through internal QA</w:t>
            </w:r>
            <w:r w:rsidR="00673B3F" w:rsidRPr="00A9270D">
              <w:rPr>
                <w:color w:val="auto"/>
                <w:szCs w:val="22"/>
              </w:rPr>
              <w:t>.</w:t>
            </w:r>
          </w:p>
          <w:p w14:paraId="3C9C6854" w14:textId="77777777" w:rsidR="00A9270D" w:rsidRPr="00A9270D" w:rsidRDefault="00A9270D" w:rsidP="00CC100A">
            <w:pPr>
              <w:pStyle w:val="TableRowCentered"/>
              <w:jc w:val="left"/>
              <w:rPr>
                <w:color w:val="auto"/>
                <w:szCs w:val="22"/>
              </w:rPr>
            </w:pPr>
          </w:p>
          <w:p w14:paraId="399D2FE8" w14:textId="77777777" w:rsidR="00673B3F" w:rsidRDefault="00673B3F" w:rsidP="00CC100A">
            <w:pPr>
              <w:pStyle w:val="TableRowCentered"/>
              <w:jc w:val="left"/>
              <w:rPr>
                <w:color w:val="auto"/>
                <w:szCs w:val="22"/>
              </w:rPr>
            </w:pPr>
            <w:r w:rsidRPr="00A9270D">
              <w:rPr>
                <w:color w:val="auto"/>
                <w:szCs w:val="22"/>
              </w:rPr>
              <w:t>Increased use of Class Charts to support attainment and progress</w:t>
            </w:r>
            <w:r w:rsidR="00A9270D" w:rsidRPr="00A9270D">
              <w:rPr>
                <w:color w:val="auto"/>
                <w:szCs w:val="22"/>
              </w:rPr>
              <w:t xml:space="preserve"> with students and to encourage greater engagement with parents</w:t>
            </w:r>
            <w:r w:rsidRPr="00A9270D">
              <w:rPr>
                <w:color w:val="auto"/>
                <w:szCs w:val="22"/>
              </w:rPr>
              <w:t>.</w:t>
            </w:r>
          </w:p>
          <w:p w14:paraId="3150D776" w14:textId="77777777" w:rsidR="00F81F6A" w:rsidRDefault="00F81F6A" w:rsidP="00CC100A">
            <w:pPr>
              <w:pStyle w:val="TableRowCentered"/>
              <w:jc w:val="left"/>
              <w:rPr>
                <w:color w:val="auto"/>
                <w:szCs w:val="22"/>
              </w:rPr>
            </w:pPr>
          </w:p>
          <w:p w14:paraId="54F753FA" w14:textId="77777777" w:rsidR="00F81F6A" w:rsidRDefault="00F81F6A" w:rsidP="00CC100A">
            <w:pPr>
              <w:pStyle w:val="TableRowCentered"/>
              <w:jc w:val="left"/>
              <w:rPr>
                <w:color w:val="auto"/>
                <w:szCs w:val="22"/>
              </w:rPr>
            </w:pPr>
            <w:r>
              <w:rPr>
                <w:color w:val="auto"/>
                <w:szCs w:val="22"/>
              </w:rPr>
              <w:t>Increased completion of independent study tasks to be reflected in Class Charts submission data.</w:t>
            </w:r>
          </w:p>
          <w:p w14:paraId="4CA00083" w14:textId="77777777" w:rsidR="00F81F6A" w:rsidRDefault="00F81F6A" w:rsidP="00CC100A">
            <w:pPr>
              <w:pStyle w:val="TableRowCentered"/>
              <w:jc w:val="left"/>
              <w:rPr>
                <w:color w:val="auto"/>
                <w:szCs w:val="22"/>
              </w:rPr>
            </w:pPr>
          </w:p>
          <w:p w14:paraId="2A7D550B" w14:textId="35C6CCF7" w:rsidR="00F81F6A" w:rsidRPr="004B6132" w:rsidRDefault="00F81F6A" w:rsidP="00CC100A">
            <w:pPr>
              <w:pStyle w:val="TableRowCentered"/>
              <w:jc w:val="left"/>
              <w:rPr>
                <w:color w:val="FF0000"/>
                <w:sz w:val="22"/>
                <w:szCs w:val="22"/>
              </w:rPr>
            </w:pPr>
            <w:r>
              <w:rPr>
                <w:color w:val="auto"/>
                <w:szCs w:val="22"/>
              </w:rPr>
              <w:t>Students are able to articulate post-16 pathways and applications for a wider variety of options are evident.  Pupils are clear on careers and pathways for access.</w:t>
            </w:r>
            <w:bookmarkStart w:id="17" w:name="_GoBack"/>
            <w:bookmarkEnd w:id="17"/>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E31D2AF" w:rsidR="00E66558" w:rsidRDefault="006F0A8A">
            <w:pPr>
              <w:pStyle w:val="TableRow"/>
              <w:rPr>
                <w:sz w:val="22"/>
                <w:szCs w:val="22"/>
              </w:rPr>
            </w:pPr>
            <w:r w:rsidRPr="007F1EF9">
              <w:t>Students will feel valued and have specific leadership roles in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B63A1" w14:textId="77777777" w:rsidR="007617F4" w:rsidRDefault="007F1EF9" w:rsidP="006F0A8A">
            <w:pPr>
              <w:autoSpaceDN/>
              <w:spacing w:before="60" w:after="120" w:line="240" w:lineRule="auto"/>
              <w:ind w:right="57"/>
              <w:rPr>
                <w:rFonts w:cs="Arial"/>
                <w:color w:val="auto"/>
              </w:rPr>
            </w:pPr>
            <w:r>
              <w:rPr>
                <w:rFonts w:cs="Arial"/>
                <w:color w:val="auto"/>
              </w:rPr>
              <w:t>Through q</w:t>
            </w:r>
            <w:r w:rsidR="006F0A8A" w:rsidRPr="00A50F03">
              <w:rPr>
                <w:rFonts w:cs="Arial"/>
                <w:color w:val="auto"/>
              </w:rPr>
              <w:t>ualitative data from student voice, student and parent surveys and teacher observation</w:t>
            </w:r>
            <w:r>
              <w:rPr>
                <w:rFonts w:cs="Arial"/>
                <w:color w:val="auto"/>
              </w:rPr>
              <w:t>s.</w:t>
            </w:r>
          </w:p>
          <w:p w14:paraId="44E2DD18" w14:textId="210F4AF5" w:rsidR="006F0A8A" w:rsidRPr="00A50F03" w:rsidRDefault="007F1EF9" w:rsidP="006F0A8A">
            <w:pPr>
              <w:autoSpaceDN/>
              <w:spacing w:before="60" w:after="120" w:line="240" w:lineRule="auto"/>
              <w:ind w:right="57"/>
              <w:rPr>
                <w:rFonts w:cs="Arial"/>
                <w:color w:val="auto"/>
              </w:rPr>
            </w:pPr>
            <w:r>
              <w:rPr>
                <w:rFonts w:cs="Arial"/>
                <w:color w:val="auto"/>
              </w:rPr>
              <w:t xml:space="preserve"> </w:t>
            </w:r>
          </w:p>
          <w:p w14:paraId="02208904" w14:textId="509A3008" w:rsidR="00E66558" w:rsidRDefault="006F0A8A" w:rsidP="006F0A8A">
            <w:pPr>
              <w:pStyle w:val="TableRowCentered"/>
              <w:ind w:left="0"/>
              <w:jc w:val="left"/>
              <w:rPr>
                <w:rFonts w:cs="Arial"/>
                <w:color w:val="auto"/>
              </w:rPr>
            </w:pPr>
            <w:r>
              <w:rPr>
                <w:rFonts w:cs="Arial"/>
                <w:color w:val="auto"/>
              </w:rPr>
              <w:t>A</w:t>
            </w:r>
            <w:r w:rsidRPr="00A50F03">
              <w:rPr>
                <w:rFonts w:cs="Arial"/>
                <w:color w:val="auto"/>
              </w:rPr>
              <w:t xml:space="preserve"> significant increase in partici</w:t>
            </w:r>
            <w:r>
              <w:rPr>
                <w:rFonts w:cs="Arial"/>
                <w:color w:val="auto"/>
              </w:rPr>
              <w:t>pation in enrichment activities and leadership roles</w:t>
            </w:r>
            <w:r w:rsidRPr="00A50F03">
              <w:rPr>
                <w:rFonts w:cs="Arial"/>
                <w:color w:val="auto"/>
              </w:rPr>
              <w:t xml:space="preserve"> particularly among disadvantaged pupils.    </w:t>
            </w:r>
          </w:p>
          <w:p w14:paraId="463174F4" w14:textId="77777777" w:rsidR="007617F4" w:rsidRDefault="007617F4" w:rsidP="006F0A8A">
            <w:pPr>
              <w:pStyle w:val="TableRowCentered"/>
              <w:ind w:left="0"/>
              <w:jc w:val="left"/>
              <w:rPr>
                <w:rFonts w:cs="Arial"/>
                <w:color w:val="auto"/>
              </w:rPr>
            </w:pPr>
          </w:p>
          <w:p w14:paraId="2A7D550E" w14:textId="45BB93A2" w:rsidR="00CC100A" w:rsidRPr="00CC100A" w:rsidRDefault="00CC100A" w:rsidP="006F0A8A">
            <w:pPr>
              <w:pStyle w:val="TableRowCentered"/>
              <w:ind w:left="0"/>
              <w:jc w:val="left"/>
              <w:rPr>
                <w:color w:val="FF0000"/>
                <w:sz w:val="22"/>
                <w:szCs w:val="22"/>
              </w:rPr>
            </w:pPr>
            <w:r w:rsidRPr="007617F4">
              <w:rPr>
                <w:rFonts w:cs="Arial"/>
                <w:color w:val="auto"/>
              </w:rPr>
              <w:t>Effective tracking of engagement through Compass+</w:t>
            </w:r>
            <w:r w:rsidR="007617F4">
              <w:rPr>
                <w:rFonts w:cs="Arial"/>
                <w:color w:val="auto"/>
              </w:rPr>
              <w:t xml:space="preserve"> to support the above success criteria</w:t>
            </w:r>
            <w:r w:rsidRPr="007617F4">
              <w:rPr>
                <w:rFonts w:cs="Arial"/>
                <w:color w:val="auto"/>
              </w:rPr>
              <w:t>.</w:t>
            </w:r>
          </w:p>
        </w:tc>
      </w:tr>
      <w:tr w:rsidR="006F0A8A" w14:paraId="3435C0E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689BD" w14:textId="2B43D65F" w:rsidR="006F0A8A" w:rsidRDefault="006F0A8A" w:rsidP="007617F4">
            <w:pPr>
              <w:pStyle w:val="TableRow"/>
              <w:ind w:left="0"/>
              <w:rPr>
                <w:sz w:val="22"/>
                <w:szCs w:val="22"/>
              </w:rPr>
            </w:pPr>
            <w:r w:rsidRPr="007F1EF9">
              <w:lastRenderedPageBreak/>
              <w:t>Attendance for disadvantaged students will improve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20FA2" w14:textId="77777777" w:rsidR="007617F4" w:rsidRPr="007617F4" w:rsidRDefault="007617F4" w:rsidP="007617F4">
            <w:pPr>
              <w:pStyle w:val="TableRowCentered"/>
              <w:ind w:left="0"/>
              <w:jc w:val="left"/>
              <w:rPr>
                <w:bCs/>
                <w:color w:val="auto"/>
              </w:rPr>
            </w:pPr>
            <w:r w:rsidRPr="007617F4">
              <w:rPr>
                <w:bCs/>
                <w:color w:val="auto"/>
              </w:rPr>
              <w:t>Clear systems for tracking and intervening with SA and PA disadvantaged students, applied by all stakeholders.</w:t>
            </w:r>
          </w:p>
          <w:p w14:paraId="156C9E33" w14:textId="60086F13" w:rsidR="007617F4" w:rsidRPr="007617F4" w:rsidRDefault="007617F4" w:rsidP="007617F4">
            <w:pPr>
              <w:pStyle w:val="TableRowCentered"/>
              <w:ind w:left="0"/>
              <w:jc w:val="left"/>
              <w:rPr>
                <w:bCs/>
                <w:color w:val="auto"/>
              </w:rPr>
            </w:pPr>
          </w:p>
          <w:p w14:paraId="1BEED388" w14:textId="686C9CDB" w:rsidR="00F80EFD" w:rsidRPr="007617F4" w:rsidRDefault="007617F4" w:rsidP="007617F4">
            <w:pPr>
              <w:pStyle w:val="TableRowCentered"/>
              <w:ind w:left="0"/>
              <w:jc w:val="left"/>
              <w:rPr>
                <w:bCs/>
                <w:color w:val="FF0000"/>
              </w:rPr>
            </w:pPr>
            <w:r w:rsidRPr="007617F4">
              <w:rPr>
                <w:bCs/>
                <w:color w:val="auto"/>
              </w:rPr>
              <w:t>Improvement from 22/23 data for disadvantaged student attendance data</w:t>
            </w:r>
            <w:r w:rsidR="001A0885" w:rsidRPr="007617F4">
              <w:rPr>
                <w:bCs/>
                <w:color w:val="auto"/>
              </w:rPr>
              <w:t>.</w:t>
            </w:r>
          </w:p>
        </w:tc>
      </w:tr>
    </w:tbl>
    <w:p w14:paraId="2A06959E" w14:textId="40093B1B"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67D2527" w:rsidR="00E66558" w:rsidRDefault="009D71E8">
      <w:r>
        <w:t xml:space="preserve">Budgeted cost: £ </w:t>
      </w:r>
      <w:r w:rsidR="00DC223E">
        <w:rPr>
          <w:i/>
          <w:iCs/>
        </w:rPr>
        <w:t>1</w:t>
      </w:r>
      <w:r w:rsidR="00DA102C">
        <w:rPr>
          <w:i/>
          <w:iCs/>
        </w:rPr>
        <w:t>68,860</w:t>
      </w:r>
    </w:p>
    <w:tbl>
      <w:tblPr>
        <w:tblW w:w="5000" w:type="pct"/>
        <w:tblCellMar>
          <w:left w:w="10" w:type="dxa"/>
          <w:right w:w="10" w:type="dxa"/>
        </w:tblCellMar>
        <w:tblLook w:val="04A0" w:firstRow="1" w:lastRow="0" w:firstColumn="1" w:lastColumn="0" w:noHBand="0" w:noVBand="1"/>
      </w:tblPr>
      <w:tblGrid>
        <w:gridCol w:w="1514"/>
        <w:gridCol w:w="6702"/>
        <w:gridCol w:w="1270"/>
      </w:tblGrid>
      <w:tr w:rsidR="00E66558" w14:paraId="2A7D5519" w14:textId="77777777" w:rsidTr="00F80EFD">
        <w:tc>
          <w:tcPr>
            <w:tcW w:w="22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9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2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F80EFD">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7231D" w14:textId="77777777" w:rsidR="00E66558" w:rsidRDefault="00C70939">
            <w:pPr>
              <w:pStyle w:val="TableRow"/>
              <w:rPr>
                <w:lang w:val="en-US"/>
              </w:rPr>
            </w:pPr>
            <w:r>
              <w:rPr>
                <w:lang w:val="en-US"/>
              </w:rPr>
              <w:t>Planning for higher order thinking delivery- reflection and progress.</w:t>
            </w:r>
          </w:p>
          <w:p w14:paraId="2A7D551A" w14:textId="63902D40" w:rsidR="00F80EFD" w:rsidRDefault="00F80EFD">
            <w:pPr>
              <w:pStyle w:val="TableRow"/>
            </w:pPr>
            <w:r w:rsidRPr="007617F4">
              <w:rPr>
                <w:color w:val="auto"/>
                <w:lang w:val="en-US"/>
              </w:rPr>
              <w:t>Responsive teaching and live marking alongside T&amp;L Foci priorities.  CPD and QA to ensure QFT is in place.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41FE4" w14:textId="77777777" w:rsidR="00E66558" w:rsidRDefault="00C54EFF">
            <w:pPr>
              <w:pStyle w:val="TableRowCentered"/>
              <w:jc w:val="left"/>
            </w:pPr>
            <w:r>
              <w:t>Our focus will be including cognitive strategies in lessons, such as problem solving and memorisation techniques, as well as teaching meta-cognitive strategies to students, such that they are better able to become independent learners. ‘Maximising Learning’, EEF</w:t>
            </w:r>
          </w:p>
          <w:p w14:paraId="0C686325" w14:textId="1CC67EC2" w:rsidR="00F80EFD" w:rsidRDefault="00F80EFD">
            <w:pPr>
              <w:pStyle w:val="TableRowCentered"/>
              <w:jc w:val="left"/>
              <w:rPr>
                <w:color w:val="FF0000"/>
              </w:rPr>
            </w:pPr>
          </w:p>
          <w:p w14:paraId="05F9909A" w14:textId="3AD38952" w:rsidR="002F0F32" w:rsidRPr="007617F4" w:rsidRDefault="002F0F32">
            <w:pPr>
              <w:pStyle w:val="TableRowCentered"/>
              <w:jc w:val="left"/>
              <w:rPr>
                <w:color w:val="auto"/>
              </w:rPr>
            </w:pPr>
            <w:r w:rsidRPr="007617F4">
              <w:rPr>
                <w:color w:val="auto"/>
              </w:rPr>
              <w:t>Students to engage at a deeper level with their learning and have more timely sight of their progress</w:t>
            </w:r>
            <w:r w:rsidR="003A56A5">
              <w:rPr>
                <w:color w:val="auto"/>
              </w:rPr>
              <w:t xml:space="preserve"> through in-class prioritisation</w:t>
            </w:r>
            <w:r w:rsidRPr="007617F4">
              <w:rPr>
                <w:color w:val="auto"/>
              </w:rPr>
              <w:t>.  This in turn will create a more positive view of attainment and education.</w:t>
            </w:r>
          </w:p>
          <w:p w14:paraId="1F732D94" w14:textId="77777777" w:rsidR="002F0F32" w:rsidRPr="007617F4" w:rsidRDefault="002F0F32">
            <w:pPr>
              <w:pStyle w:val="TableRowCentered"/>
              <w:jc w:val="left"/>
              <w:rPr>
                <w:color w:val="auto"/>
              </w:rPr>
            </w:pPr>
          </w:p>
          <w:p w14:paraId="0A9CF1C4" w14:textId="77777777" w:rsidR="00F80EFD" w:rsidRPr="007617F4" w:rsidRDefault="00F80EFD">
            <w:pPr>
              <w:pStyle w:val="TableRowCentered"/>
              <w:jc w:val="left"/>
              <w:rPr>
                <w:color w:val="auto"/>
              </w:rPr>
            </w:pPr>
            <w:r w:rsidRPr="007617F4">
              <w:rPr>
                <w:color w:val="auto"/>
              </w:rPr>
              <w:t>Professional development on evidence-based approaches for example feedback, metacognition, reading comprehension, phonics or mastery learning, EEF Evidence brief</w:t>
            </w:r>
            <w:r w:rsidR="009D4C43" w:rsidRPr="007617F4">
              <w:rPr>
                <w:color w:val="auto"/>
              </w:rPr>
              <w:t>.</w:t>
            </w:r>
          </w:p>
          <w:p w14:paraId="361B3223" w14:textId="77777777" w:rsidR="009D4C43" w:rsidRDefault="009D4C43">
            <w:pPr>
              <w:pStyle w:val="TableRowCentered"/>
              <w:jc w:val="left"/>
              <w:rPr>
                <w:color w:val="FF0000"/>
              </w:rPr>
            </w:pPr>
          </w:p>
          <w:p w14:paraId="2A7D551B" w14:textId="5226D5F5" w:rsidR="009D4C43" w:rsidRDefault="003A56A5">
            <w:pPr>
              <w:pStyle w:val="TableRowCentered"/>
              <w:jc w:val="left"/>
              <w:rPr>
                <w:sz w:val="22"/>
              </w:rPr>
            </w:pPr>
            <w:r w:rsidRPr="003A56A5">
              <w:rPr>
                <w:color w:val="auto"/>
              </w:rPr>
              <w:t xml:space="preserve">Evidence indicates that high quality teaching is the most important lever schools have to improve pupil attainment, including for disadvantaged pupils. Schools should focus on building teacher knowledge and pedagogical expertise, curriculum development, and the purposeful use of assessment. In some cases, this may include the selection </w:t>
            </w:r>
            <w:r w:rsidRPr="003A56A5">
              <w:rPr>
                <w:color w:val="auto"/>
              </w:rPr>
              <w:lastRenderedPageBreak/>
              <w:t>of high-quality curriculum materials, or investment in the use of standardised assessments – EEF.</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74C695C" w:rsidR="00E66558" w:rsidRDefault="008F728B">
            <w:pPr>
              <w:pStyle w:val="TableRowCentered"/>
              <w:jc w:val="left"/>
              <w:rPr>
                <w:sz w:val="22"/>
              </w:rPr>
            </w:pPr>
            <w:r>
              <w:rPr>
                <w:sz w:val="22"/>
              </w:rPr>
              <w:lastRenderedPageBreak/>
              <w:t>1,2</w:t>
            </w:r>
            <w:r w:rsidR="002F0F32">
              <w:rPr>
                <w:sz w:val="22"/>
              </w:rPr>
              <w:t>,3</w:t>
            </w:r>
          </w:p>
        </w:tc>
      </w:tr>
      <w:tr w:rsidR="00E66558" w14:paraId="2A7D5521" w14:textId="77777777" w:rsidTr="00F80EFD">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FB99A49" w:rsidR="00E66558" w:rsidRPr="009D4C43" w:rsidRDefault="00C70939" w:rsidP="00C70939">
            <w:pPr>
              <w:pStyle w:val="TableRow"/>
              <w:ind w:left="0"/>
              <w:rPr>
                <w:i/>
                <w:color w:val="FF0000"/>
                <w:sz w:val="22"/>
              </w:rPr>
            </w:pPr>
            <w:r>
              <w:rPr>
                <w:lang w:val="en-US"/>
              </w:rPr>
              <w:lastRenderedPageBreak/>
              <w:t>Reading and disciplinary literacy</w:t>
            </w:r>
            <w:r w:rsidR="009D4C43">
              <w:rPr>
                <w:color w:val="FF0000"/>
                <w:lang w:val="en-US"/>
              </w:rPr>
              <w:t xml:space="preserve"> </w:t>
            </w:r>
            <w:r w:rsidR="009D4C43" w:rsidRPr="003A56A5">
              <w:rPr>
                <w:color w:val="auto"/>
                <w:lang w:val="en-US"/>
              </w:rPr>
              <w:t>in particular tackling lower than chronological reading ages.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E58A7" w14:textId="2174DB60" w:rsidR="00E66558" w:rsidRPr="003A56A5" w:rsidRDefault="00C54EFF">
            <w:pPr>
              <w:pStyle w:val="TableRowCentered"/>
              <w:jc w:val="left"/>
              <w:rPr>
                <w:color w:val="auto"/>
              </w:rPr>
            </w:pPr>
            <w:r w:rsidRPr="003A56A5">
              <w:rPr>
                <w:color w:val="auto"/>
              </w:rPr>
              <w:t>Acquiring disciplinary literacy is key for students as they learn new, more complex concepts in each subject.</w:t>
            </w:r>
            <w:r w:rsidR="009D4C43" w:rsidRPr="003A56A5">
              <w:rPr>
                <w:color w:val="auto"/>
              </w:rPr>
              <w:t xml:space="preserve">  Students will use Sparx in English and Maths to develop literacy and numeracy.  All staff have or will receive CPD in disciplinary literacy and teaching reading within their curricular areas.</w:t>
            </w:r>
          </w:p>
          <w:p w14:paraId="1B10A67A" w14:textId="77777777" w:rsidR="003A56A5" w:rsidRPr="003A56A5" w:rsidRDefault="003A56A5">
            <w:pPr>
              <w:pStyle w:val="TableRowCentered"/>
              <w:jc w:val="left"/>
              <w:rPr>
                <w:color w:val="auto"/>
              </w:rPr>
            </w:pPr>
          </w:p>
          <w:p w14:paraId="2EFA97B8" w14:textId="4907ADE0" w:rsidR="009D4C43" w:rsidRPr="003A56A5" w:rsidRDefault="009D4C43">
            <w:pPr>
              <w:pStyle w:val="TableRowCentered"/>
              <w:jc w:val="left"/>
              <w:rPr>
                <w:color w:val="auto"/>
              </w:rPr>
            </w:pPr>
            <w:r w:rsidRPr="003A56A5">
              <w:rPr>
                <w:color w:val="auto"/>
              </w:rPr>
              <w:t xml:space="preserve">Curriculum redesign has taken place with core knowledge and skills identified with formative assessment strategies to determine </w:t>
            </w:r>
            <w:r w:rsidR="002F0F32" w:rsidRPr="003A56A5">
              <w:rPr>
                <w:color w:val="auto"/>
              </w:rPr>
              <w:t>gaps and appropriate support required.</w:t>
            </w:r>
          </w:p>
          <w:p w14:paraId="46A63873" w14:textId="77777777" w:rsidR="003A56A5" w:rsidRPr="003A56A5" w:rsidRDefault="003A56A5">
            <w:pPr>
              <w:pStyle w:val="TableRowCentered"/>
              <w:jc w:val="left"/>
              <w:rPr>
                <w:color w:val="auto"/>
              </w:rPr>
            </w:pPr>
          </w:p>
          <w:p w14:paraId="2A7D551F" w14:textId="0BE36154" w:rsidR="00F80EFD" w:rsidRPr="003A56A5" w:rsidRDefault="002F0F32" w:rsidP="003A56A5">
            <w:pPr>
              <w:pStyle w:val="TableRowCentered"/>
              <w:jc w:val="left"/>
              <w:rPr>
                <w:color w:val="auto"/>
              </w:rPr>
            </w:pPr>
            <w:r w:rsidRPr="003A56A5">
              <w:rPr>
                <w:color w:val="auto"/>
              </w:rPr>
              <w:t>Evidence indicates that high quality teaching is the most important lever schools have to improve pupil attainment, including for disadvantaged pupils. Schools should focus on building teacher knowledge and pedagogical expertise, curriculum development, and the purposeful use of assessment. In some cases, this may include the selection of high-quality curriculum materials, or investment in the use of standardised assessments – EEF.</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F8A4354" w:rsidR="00E66558" w:rsidRDefault="002F0F32">
            <w:pPr>
              <w:pStyle w:val="TableRowCentered"/>
              <w:jc w:val="left"/>
              <w:rPr>
                <w:sz w:val="22"/>
              </w:rPr>
            </w:pPr>
            <w:r>
              <w:rPr>
                <w:sz w:val="22"/>
              </w:rPr>
              <w:t>1,</w:t>
            </w:r>
            <w:r w:rsidR="008F728B">
              <w:rPr>
                <w:sz w:val="22"/>
              </w:rPr>
              <w:t>4</w:t>
            </w:r>
          </w:p>
        </w:tc>
      </w:tr>
      <w:tr w:rsidR="00C70939" w14:paraId="42D54078" w14:textId="77777777" w:rsidTr="00F80EFD">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F6DC4" w14:textId="26010846" w:rsidR="00C70939" w:rsidRDefault="00C70939" w:rsidP="00C70939">
            <w:pPr>
              <w:pStyle w:val="TableRow"/>
              <w:ind w:left="0"/>
              <w:rPr>
                <w:lang w:val="en-US"/>
              </w:rPr>
            </w:pPr>
            <w:r>
              <w:t>Sharing best practice for our disadvantaged learners.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025D0" w14:textId="2B607041" w:rsidR="00C70939" w:rsidRDefault="003A56A5" w:rsidP="00C54EFF">
            <w:pPr>
              <w:pStyle w:val="TableRowCentered"/>
              <w:jc w:val="left"/>
            </w:pPr>
            <w:r>
              <w:t>Assistant Headteacher</w:t>
            </w:r>
            <w:r w:rsidR="00C54EFF">
              <w:t xml:space="preserve"> to work with learning area co-ordinators of target subject areas to develop effective approaches for this cohort.</w:t>
            </w:r>
          </w:p>
          <w:p w14:paraId="67760D41" w14:textId="77777777" w:rsidR="003A56A5" w:rsidRDefault="003A56A5" w:rsidP="00C54EFF">
            <w:pPr>
              <w:pStyle w:val="TableRowCentered"/>
              <w:jc w:val="left"/>
            </w:pPr>
          </w:p>
          <w:p w14:paraId="56F5A2C0" w14:textId="056735A6" w:rsidR="002F0F32" w:rsidRPr="003A56A5" w:rsidRDefault="002F0F32" w:rsidP="00C54EFF">
            <w:pPr>
              <w:pStyle w:val="TableRowCentered"/>
              <w:jc w:val="left"/>
              <w:rPr>
                <w:color w:val="auto"/>
              </w:rPr>
            </w:pPr>
            <w:r w:rsidRPr="003A56A5">
              <w:rPr>
                <w:color w:val="auto"/>
              </w:rPr>
              <w:t>Tracking and internal QA measures to support review of systems and their efficacy.</w:t>
            </w:r>
          </w:p>
          <w:p w14:paraId="6381DEF8" w14:textId="77777777" w:rsidR="003A56A5" w:rsidRPr="003A56A5" w:rsidRDefault="003A56A5" w:rsidP="00C54EFF">
            <w:pPr>
              <w:pStyle w:val="TableRowCentered"/>
              <w:jc w:val="left"/>
              <w:rPr>
                <w:color w:val="auto"/>
              </w:rPr>
            </w:pPr>
          </w:p>
          <w:p w14:paraId="5273A423" w14:textId="606A1EC6" w:rsidR="002F0F32" w:rsidRPr="003A56A5" w:rsidRDefault="002F0F32" w:rsidP="00C54EFF">
            <w:pPr>
              <w:pStyle w:val="TableRowCentered"/>
              <w:jc w:val="left"/>
              <w:rPr>
                <w:color w:val="auto"/>
              </w:rPr>
            </w:pPr>
            <w:r w:rsidRPr="003A56A5">
              <w:rPr>
                <w:color w:val="auto"/>
              </w:rPr>
              <w:t>Research based approach to CPD to inform bi-weekly sessions for staff.</w:t>
            </w:r>
          </w:p>
          <w:p w14:paraId="622B8C96" w14:textId="77777777" w:rsidR="003A56A5" w:rsidRPr="003A56A5" w:rsidRDefault="003A56A5" w:rsidP="00C54EFF">
            <w:pPr>
              <w:pStyle w:val="TableRowCentered"/>
              <w:jc w:val="left"/>
              <w:rPr>
                <w:color w:val="auto"/>
              </w:rPr>
            </w:pPr>
          </w:p>
          <w:p w14:paraId="3FF1CA61" w14:textId="77777777" w:rsidR="002F0F32" w:rsidRPr="003A56A5" w:rsidRDefault="002F0F32" w:rsidP="00C54EFF">
            <w:pPr>
              <w:pStyle w:val="TableRowCentered"/>
              <w:jc w:val="left"/>
              <w:rPr>
                <w:color w:val="auto"/>
              </w:rPr>
            </w:pPr>
            <w:r w:rsidRPr="003A56A5">
              <w:rPr>
                <w:color w:val="auto"/>
              </w:rPr>
              <w:t>Data based feedback on successes and areas for growth.</w:t>
            </w:r>
          </w:p>
          <w:p w14:paraId="348533F5" w14:textId="77777777" w:rsidR="003A56A5" w:rsidRDefault="003A56A5" w:rsidP="00C54EFF">
            <w:pPr>
              <w:pStyle w:val="TableRowCentered"/>
              <w:jc w:val="left"/>
              <w:rPr>
                <w:color w:val="FF0000"/>
              </w:rPr>
            </w:pPr>
          </w:p>
          <w:p w14:paraId="60E2BD83" w14:textId="7EDF092C" w:rsidR="003A56A5" w:rsidRDefault="003A56A5" w:rsidP="00C54EFF">
            <w:pPr>
              <w:pStyle w:val="TableRowCentered"/>
              <w:jc w:val="left"/>
              <w:rPr>
                <w:sz w:val="22"/>
              </w:rPr>
            </w:pPr>
            <w:r>
              <w:t>A common form of support for teacher professional development is mentoring and/or coaching – EEF.</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D251A" w14:textId="020242F4" w:rsidR="00C70939" w:rsidRDefault="008F728B">
            <w:pPr>
              <w:pStyle w:val="TableRowCentered"/>
              <w:jc w:val="left"/>
              <w:rPr>
                <w:sz w:val="22"/>
              </w:rPr>
            </w:pPr>
            <w:r>
              <w:rPr>
                <w:sz w:val="22"/>
              </w:rPr>
              <w:t>1,2</w:t>
            </w:r>
            <w:r w:rsidR="002F0F32">
              <w:rPr>
                <w:sz w:val="22"/>
              </w:rPr>
              <w:t>,4</w:t>
            </w:r>
          </w:p>
        </w:tc>
      </w:tr>
      <w:tr w:rsidR="00C70939" w14:paraId="2AECEFCF" w14:textId="77777777" w:rsidTr="00F80EFD">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F7486" w14:textId="7810E84E" w:rsidR="00C70939" w:rsidRPr="002F0F32" w:rsidRDefault="00C54EFF" w:rsidP="00C70939">
            <w:pPr>
              <w:pStyle w:val="TableRow"/>
              <w:ind w:left="0"/>
              <w:rPr>
                <w:color w:val="FF0000"/>
              </w:rPr>
            </w:pPr>
            <w:r w:rsidRPr="003A56A5">
              <w:rPr>
                <w:color w:val="auto"/>
              </w:rPr>
              <w:t>Careers</w:t>
            </w:r>
            <w:r w:rsidR="002F0F32" w:rsidRPr="003A56A5">
              <w:rPr>
                <w:color w:val="auto"/>
              </w:rPr>
              <w:t xml:space="preserve"> and development of the HUB system.</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8569E" w14:textId="0CE158D9" w:rsidR="00C70939" w:rsidRDefault="00C54EFF">
            <w:pPr>
              <w:pStyle w:val="TableRowCentered"/>
              <w:jc w:val="left"/>
              <w:rPr>
                <w:rStyle w:val="Hyperlink"/>
              </w:rPr>
            </w:pPr>
            <w:r>
              <w:t xml:space="preserve">Gatsby Benchmarks EEF Toolkit – Aspiration interventions Aspirations and vision can have a significant impact on student motivation and achievement. </w:t>
            </w:r>
            <w:hyperlink r:id="rId7" w:history="1">
              <w:r w:rsidR="002F0F32" w:rsidRPr="003C5C07">
                <w:rPr>
                  <w:rStyle w:val="Hyperlink"/>
                </w:rPr>
                <w:t>https://educationendowmentfoundation.org.uk/educationevidence/teaching-learning-toolkit/aspiration</w:t>
              </w:r>
            </w:hyperlink>
          </w:p>
          <w:p w14:paraId="3C1A29A4" w14:textId="77777777" w:rsidR="003A56A5" w:rsidRDefault="003A56A5">
            <w:pPr>
              <w:pStyle w:val="TableRowCentered"/>
              <w:jc w:val="left"/>
            </w:pPr>
          </w:p>
          <w:p w14:paraId="2E56234E" w14:textId="52C4A914" w:rsidR="002F0F32" w:rsidRPr="002F0F32" w:rsidRDefault="002F0F32">
            <w:pPr>
              <w:pStyle w:val="TableRowCentered"/>
              <w:jc w:val="left"/>
              <w:rPr>
                <w:color w:val="FF0000"/>
                <w:sz w:val="22"/>
              </w:rPr>
            </w:pPr>
            <w:r w:rsidRPr="003A56A5">
              <w:rPr>
                <w:color w:val="auto"/>
              </w:rPr>
              <w:t>HUB and extra-curricular activities to raise engagement and aspiration, identifying post-16 academic and technical pathways.</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52D05" w14:textId="5CB91C97" w:rsidR="00C70939" w:rsidRDefault="008F728B">
            <w:pPr>
              <w:pStyle w:val="TableRowCentered"/>
              <w:jc w:val="left"/>
              <w:rPr>
                <w:sz w:val="22"/>
              </w:rPr>
            </w:pPr>
            <w:r>
              <w:rPr>
                <w:sz w:val="22"/>
              </w:rPr>
              <w:t>1,3</w:t>
            </w:r>
            <w:r w:rsidR="00D2107A">
              <w:rPr>
                <w:sz w:val="22"/>
              </w:rPr>
              <w:t>,5</w:t>
            </w:r>
          </w:p>
        </w:tc>
      </w:tr>
    </w:tbl>
    <w:p w14:paraId="2A7D5522" w14:textId="77777777" w:rsidR="00E66558" w:rsidRDefault="00E66558" w:rsidP="00ED5108"/>
    <w:p w14:paraId="2A7D5523" w14:textId="5B2BE35F" w:rsidR="00E66558" w:rsidRPr="00AA355B" w:rsidRDefault="009D71E8" w:rsidP="00AA355B">
      <w:pPr>
        <w:pStyle w:val="Heading3"/>
      </w:pPr>
      <w:r>
        <w:lastRenderedPageBreak/>
        <w:t xml:space="preserve">Targeted academic support (for example, </w:t>
      </w:r>
      <w:r w:rsidR="00D33FE5">
        <w:t>tutoring, one-to-one support</w:t>
      </w:r>
      <w:r w:rsidR="00F776E1">
        <w:t>,</w:t>
      </w:r>
      <w:r w:rsidR="00D33FE5">
        <w:t xml:space="preserve"> </w:t>
      </w:r>
      <w:r>
        <w:t xml:space="preserve">structured interventions) </w:t>
      </w:r>
    </w:p>
    <w:p w14:paraId="2A7D5524" w14:textId="027B67FB" w:rsidR="00E66558" w:rsidRDefault="009D71E8">
      <w:r>
        <w:t xml:space="preserve">Budgeted cost: £ </w:t>
      </w:r>
      <w:r w:rsidR="00DA102C">
        <w:t>38,968</w:t>
      </w:r>
    </w:p>
    <w:tbl>
      <w:tblPr>
        <w:tblW w:w="5000" w:type="pct"/>
        <w:tblCellMar>
          <w:left w:w="10" w:type="dxa"/>
          <w:right w:w="10" w:type="dxa"/>
        </w:tblCellMar>
        <w:tblLook w:val="04A0" w:firstRow="1" w:lastRow="0" w:firstColumn="1" w:lastColumn="0" w:noHBand="0" w:noVBand="1"/>
      </w:tblPr>
      <w:tblGrid>
        <w:gridCol w:w="2531"/>
        <w:gridCol w:w="4570"/>
        <w:gridCol w:w="2385"/>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069F80A" w:rsidR="00E66558" w:rsidRDefault="00C70939">
            <w:pPr>
              <w:pStyle w:val="TableRow"/>
            </w:pPr>
            <w:r>
              <w:t>Additional revision workshops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13647" w14:textId="77777777" w:rsidR="00E66558" w:rsidRDefault="00C54EFF">
            <w:pPr>
              <w:pStyle w:val="TableRowCentered"/>
              <w:jc w:val="left"/>
            </w:pPr>
            <w:r>
              <w:t>The EEF Toolkit suggests that one to one targeted support ‘is very effective at improving pupil outcomes’, especially when those leading it are ‘well-trained and supported – for example, delivering a structured intervention.’ Interventions such as this can provide on average 5 months’ progress.</w:t>
            </w:r>
          </w:p>
          <w:p w14:paraId="11440FEB" w14:textId="77777777" w:rsidR="00C54EFF" w:rsidRDefault="00C54EFF">
            <w:pPr>
              <w:pStyle w:val="TableRowCentered"/>
              <w:jc w:val="left"/>
            </w:pPr>
          </w:p>
          <w:p w14:paraId="2A7D552A" w14:textId="14C7D633" w:rsidR="00C54EFF" w:rsidRDefault="00C54EFF">
            <w:pPr>
              <w:pStyle w:val="TableRowCentered"/>
              <w:jc w:val="left"/>
              <w:rPr>
                <w:sz w:val="22"/>
              </w:rPr>
            </w:pPr>
            <w:r>
              <w:t>Weekly after-school sessions with subject specialists to support the independent study and revision practices of this cohort of learners.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7E6536F" w:rsidR="00E66558" w:rsidRDefault="008F728B">
            <w:pPr>
              <w:pStyle w:val="TableRowCentered"/>
              <w:jc w:val="left"/>
              <w:rPr>
                <w:sz w:val="22"/>
              </w:rPr>
            </w:pPr>
            <w:r>
              <w:rPr>
                <w:sz w:val="22"/>
              </w:rPr>
              <w:t>2</w:t>
            </w:r>
            <w:r w:rsidR="00D2107A">
              <w:rPr>
                <w:sz w:val="22"/>
              </w:rPr>
              <w:t>,4</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5D331CD" w:rsidR="00E66558" w:rsidRDefault="00C70939">
            <w:pPr>
              <w:pStyle w:val="TableRow"/>
              <w:rPr>
                <w:i/>
                <w:sz w:val="22"/>
              </w:rPr>
            </w:pPr>
            <w:r>
              <w:t>School-led tuition and National tutoring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DBB32" w14:textId="77777777" w:rsidR="00C54EFF" w:rsidRDefault="00C54EFF">
            <w:pPr>
              <w:pStyle w:val="TableRowCentered"/>
              <w:jc w:val="left"/>
            </w:pPr>
            <w:r>
              <w:t xml:space="preserve">Tuition targeted at specific needs and knowledge gaps can be an effective method to support low attaining pupils or those falling behind, both one-to one: </w:t>
            </w:r>
          </w:p>
          <w:p w14:paraId="2A7D552E" w14:textId="3041F296" w:rsidR="00E66558" w:rsidRDefault="00C54EFF" w:rsidP="00C54EFF">
            <w:pPr>
              <w:pStyle w:val="TableRowCentered"/>
              <w:ind w:left="0"/>
              <w:jc w:val="left"/>
              <w:rPr>
                <w:sz w:val="22"/>
              </w:rPr>
            </w:pPr>
            <w:r>
              <w:t xml:space="preserve">One to one tuition | EEF (educationendowmentfoundation.org.uk)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02A30B0" w:rsidR="00E66558" w:rsidRDefault="008F728B">
            <w:pPr>
              <w:pStyle w:val="TableRowCentered"/>
              <w:jc w:val="left"/>
              <w:rPr>
                <w:sz w:val="22"/>
              </w:rPr>
            </w:pPr>
            <w:r>
              <w:rPr>
                <w:sz w:val="22"/>
              </w:rPr>
              <w:t>2</w:t>
            </w:r>
            <w:r w:rsidR="00D2107A">
              <w:rPr>
                <w:sz w:val="22"/>
              </w:rPr>
              <w:t>,4</w:t>
            </w:r>
          </w:p>
        </w:tc>
      </w:tr>
      <w:tr w:rsidR="00C70939" w14:paraId="39FC634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AB755" w14:textId="5B4FF9E7" w:rsidR="00C70939" w:rsidRDefault="00C70939">
            <w:pPr>
              <w:pStyle w:val="TableRow"/>
            </w:pPr>
            <w:r>
              <w:t>KS3 Reading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4F969" w14:textId="77777777" w:rsidR="00C54EFF" w:rsidRDefault="00C54EFF">
            <w:pPr>
              <w:pStyle w:val="TableRowCentered"/>
              <w:jc w:val="left"/>
            </w:pPr>
            <w:r>
              <w:t>Reading comprehension strategies can have a positive impact on pupils’ ability to understand a text, and this is particularly the case when interventions are delivered over a shorter timespan:</w:t>
            </w:r>
          </w:p>
          <w:p w14:paraId="1E67EAF4" w14:textId="77777777" w:rsidR="00C54EFF" w:rsidRDefault="00C54EFF">
            <w:pPr>
              <w:pStyle w:val="TableRowCentered"/>
              <w:jc w:val="left"/>
            </w:pPr>
          </w:p>
          <w:p w14:paraId="32881C0F" w14:textId="64B211F6" w:rsidR="00C70939" w:rsidRDefault="00C54EFF">
            <w:pPr>
              <w:pStyle w:val="TableRowCentered"/>
              <w:jc w:val="left"/>
              <w:rPr>
                <w:sz w:val="22"/>
              </w:rPr>
            </w:pPr>
            <w:r>
              <w:t>Reading comprehension strategies | Toolkit Strand | Education Endowment Foundation |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93FAC" w14:textId="661447A0" w:rsidR="00C70939" w:rsidRDefault="00D2107A">
            <w:pPr>
              <w:pStyle w:val="TableRowCentered"/>
              <w:jc w:val="left"/>
              <w:rPr>
                <w:sz w:val="22"/>
              </w:rPr>
            </w:pPr>
            <w:r>
              <w:rPr>
                <w:sz w:val="22"/>
              </w:rPr>
              <w:t>2,</w:t>
            </w:r>
            <w:r w:rsidR="008F728B">
              <w:rPr>
                <w:sz w:val="22"/>
              </w:rPr>
              <w:t>4</w:t>
            </w:r>
          </w:p>
        </w:tc>
      </w:tr>
      <w:tr w:rsidR="00080F98" w14:paraId="07970AE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8E6F1" w14:textId="673697F2" w:rsidR="00080F98" w:rsidRDefault="00080F98">
            <w:pPr>
              <w:pStyle w:val="TableRow"/>
            </w:pPr>
            <w:r>
              <w:t>Revision materials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09581" w14:textId="0784F0F8" w:rsidR="00080F98" w:rsidRPr="003A56A5" w:rsidRDefault="00C54EFF">
            <w:pPr>
              <w:pStyle w:val="TableRowCentered"/>
              <w:jc w:val="left"/>
              <w:rPr>
                <w:szCs w:val="24"/>
              </w:rPr>
            </w:pPr>
            <w:r w:rsidRPr="003A56A5">
              <w:rPr>
                <w:szCs w:val="24"/>
              </w:rPr>
              <w:t>Academic support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42333" w14:textId="1411B278" w:rsidR="00080F98" w:rsidRDefault="00C54EFF">
            <w:pPr>
              <w:pStyle w:val="TableRowCentered"/>
              <w:jc w:val="left"/>
              <w:rPr>
                <w:sz w:val="22"/>
              </w:rPr>
            </w:pPr>
            <w:r>
              <w:rPr>
                <w:sz w:val="22"/>
              </w:rPr>
              <w:t>1,2</w:t>
            </w:r>
            <w:r w:rsidR="00D2107A">
              <w:rPr>
                <w:sz w:val="22"/>
              </w:rPr>
              <w:t>,4</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4F9C885A" w:rsidR="00E66558" w:rsidRDefault="009D71E8">
      <w:pPr>
        <w:spacing w:before="240" w:after="120"/>
      </w:pPr>
      <w:r>
        <w:t xml:space="preserve">Budgeted cost: £ </w:t>
      </w:r>
      <w:r w:rsidR="00DA102C">
        <w:rPr>
          <w:i/>
          <w:iCs/>
        </w:rPr>
        <w:t>51</w:t>
      </w:r>
      <w:r w:rsidR="00CD5253">
        <w:rPr>
          <w:i/>
          <w:iCs/>
        </w:rPr>
        <w:t>,</w:t>
      </w:r>
      <w:r w:rsidR="00DA102C">
        <w:rPr>
          <w:i/>
          <w:iCs/>
        </w:rPr>
        <w:t>957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BF8BEC7" w:rsidR="00E66558" w:rsidRDefault="00C70939">
            <w:pPr>
              <w:pStyle w:val="TableRow"/>
              <w:rPr>
                <w:i/>
                <w:sz w:val="22"/>
              </w:rPr>
            </w:pPr>
            <w:r>
              <w:lastRenderedPageBreak/>
              <w:t>Educational visits and in-house workshops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1B06039C" w:rsidR="00E66558" w:rsidRPr="00D2107A" w:rsidRDefault="00C54EFF">
            <w:pPr>
              <w:pStyle w:val="TableRowCentered"/>
              <w:jc w:val="left"/>
              <w:rPr>
                <w:color w:val="FF0000"/>
                <w:sz w:val="22"/>
              </w:rPr>
            </w:pPr>
            <w:r>
              <w:t xml:space="preserve">Research suggests that disadvantaged students will have a more limited experience of the world than their </w:t>
            </w:r>
            <w:r w:rsidR="003A56A5">
              <w:t>non-disadvantaged</w:t>
            </w:r>
            <w:r>
              <w:t xml:space="preserve"> peers. We want to increase the cultural capital of our disadvantaged learners.</w:t>
            </w:r>
            <w:r w:rsidR="00D2107A">
              <w:t xml:space="preserve">  </w:t>
            </w:r>
            <w:r w:rsidR="00D2107A" w:rsidRPr="003A56A5">
              <w:rPr>
                <w:color w:val="auto"/>
              </w:rPr>
              <w:t>This will be supported through the development of the HUB system and extracurricular opportunities.  Project based learning will also positively impact the deficit in cultural capital.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C8E94AC" w:rsidR="00E66558" w:rsidRDefault="008F728B">
            <w:pPr>
              <w:pStyle w:val="TableRowCentered"/>
              <w:jc w:val="left"/>
              <w:rPr>
                <w:sz w:val="22"/>
              </w:rPr>
            </w:pPr>
            <w:r>
              <w:rPr>
                <w:sz w:val="22"/>
              </w:rPr>
              <w:t>1,2,3,4</w:t>
            </w:r>
          </w:p>
        </w:tc>
      </w:tr>
      <w:tr w:rsidR="00C70939" w14:paraId="01B8421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F600B" w14:textId="77777777" w:rsidR="00C70939" w:rsidRDefault="00C70939" w:rsidP="0076238E">
            <w:pPr>
              <w:pStyle w:val="TableRow"/>
            </w:pPr>
            <w:r>
              <w:t xml:space="preserve">Music </w:t>
            </w:r>
            <w:r w:rsidR="0076238E">
              <w:t>lessons</w:t>
            </w:r>
            <w:r>
              <w:t xml:space="preserve"> and music exams – we wish to offer weekly music tuition to a greater number of disadvantaged learners</w:t>
            </w:r>
          </w:p>
          <w:p w14:paraId="65EE5EC4" w14:textId="1803C8E9" w:rsidR="00D2107A" w:rsidRDefault="00D2107A" w:rsidP="0076238E">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680EA" w14:textId="610C39F5" w:rsidR="00C70939" w:rsidRDefault="00C54EFF">
            <w:pPr>
              <w:pStyle w:val="TableRowCentered"/>
              <w:jc w:val="left"/>
              <w:rPr>
                <w:sz w:val="22"/>
              </w:rPr>
            </w:pPr>
            <w:r>
              <w:t>According to the EEF Toolkit and the work of the Sutton Trust, Arts Participation can increase progress by 2 months. We want to encourage a greater number of disadvantaged learners to participate in musical tuition (currently 24 disadvantaged students receive 1:1 music lessons).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C4036" w14:textId="2B4C83E9" w:rsidR="00C70939" w:rsidRDefault="008F728B">
            <w:pPr>
              <w:pStyle w:val="TableRowCentered"/>
              <w:jc w:val="left"/>
              <w:rPr>
                <w:sz w:val="22"/>
              </w:rPr>
            </w:pPr>
            <w:r>
              <w:rPr>
                <w:sz w:val="22"/>
              </w:rPr>
              <w:t>1</w:t>
            </w:r>
          </w:p>
        </w:tc>
      </w:tr>
      <w:tr w:rsidR="00C70939" w14:paraId="055E79F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C2FFF" w14:textId="05DFF354" w:rsidR="00D2107A" w:rsidRPr="00D2107A" w:rsidRDefault="00C70939" w:rsidP="003A56A5">
            <w:pPr>
              <w:pStyle w:val="TableRow"/>
              <w:rPr>
                <w:color w:val="FF0000"/>
              </w:rPr>
            </w:pPr>
            <w:r w:rsidRPr="00CD5253">
              <w:rPr>
                <w:color w:val="auto"/>
              </w:rPr>
              <w:t xml:space="preserve">To offer </w:t>
            </w:r>
            <w:r w:rsidR="003A56A5" w:rsidRPr="00CD5253">
              <w:rPr>
                <w:color w:val="auto"/>
              </w:rPr>
              <w:t xml:space="preserve">mentoring and individual support through the </w:t>
            </w:r>
            <w:r w:rsidR="00CD5253" w:rsidRPr="00CD5253">
              <w:rPr>
                <w:color w:val="auto"/>
              </w:rPr>
              <w:t xml:space="preserve">effective deployment and </w:t>
            </w:r>
            <w:r w:rsidR="003A56A5" w:rsidRPr="00CD5253">
              <w:rPr>
                <w:color w:val="auto"/>
              </w:rPr>
              <w:t xml:space="preserve">utilisation of the </w:t>
            </w:r>
            <w:r w:rsidR="00D2107A" w:rsidRPr="00CD5253">
              <w:rPr>
                <w:color w:val="auto"/>
              </w:rPr>
              <w:t>Youth Workers</w:t>
            </w:r>
            <w:r w:rsidR="00CD5253" w:rsidRPr="00CD5253">
              <w:rPr>
                <w:color w:val="auto"/>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65FC9" w14:textId="77777777" w:rsidR="00C70939" w:rsidRDefault="00C54EFF" w:rsidP="003A56A5">
            <w:pPr>
              <w:pStyle w:val="TableRowCentered"/>
              <w:jc w:val="left"/>
            </w:pPr>
            <w:r>
              <w:t xml:space="preserve">We have seen a marked increase in students struggling with their mental health since </w:t>
            </w:r>
            <w:r w:rsidR="003A56A5">
              <w:t>2020</w:t>
            </w:r>
            <w:r>
              <w:t xml:space="preserve">. The </w:t>
            </w:r>
            <w:r w:rsidR="00D2107A" w:rsidRPr="003A56A5">
              <w:rPr>
                <w:color w:val="auto"/>
              </w:rPr>
              <w:t>Youth Workers</w:t>
            </w:r>
            <w:r>
              <w:t xml:space="preserve"> </w:t>
            </w:r>
            <w:r w:rsidR="00D2107A">
              <w:t>will engage</w:t>
            </w:r>
            <w:r>
              <w:t xml:space="preserve"> with these learners – increased attendance, improved </w:t>
            </w:r>
            <w:r w:rsidR="003A56A5">
              <w:t>self-esteem</w:t>
            </w:r>
            <w:r>
              <w:t>, improved view of school and a greater understanding of the value of their education.</w:t>
            </w:r>
          </w:p>
          <w:p w14:paraId="2AFEBCF6" w14:textId="77777777" w:rsidR="00CD5253" w:rsidRDefault="00CD5253" w:rsidP="003A56A5">
            <w:pPr>
              <w:pStyle w:val="TableRowCentered"/>
              <w:jc w:val="left"/>
            </w:pPr>
          </w:p>
          <w:p w14:paraId="60AA498A" w14:textId="72BA4BF3" w:rsidR="00CD5253" w:rsidRDefault="00CD5253" w:rsidP="003A56A5">
            <w:pPr>
              <w:pStyle w:val="TableRowCentered"/>
              <w:jc w:val="left"/>
              <w:rPr>
                <w:sz w:val="22"/>
              </w:rPr>
            </w:pPr>
            <w:r>
              <w:t>Social and emotional skills support effective learning and are linked to positive outcomes later in life. Schools may consider whole-class approaches as well as targeted interventions, monitoring the impact of these choices carefully –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40F5E" w14:textId="30E46869" w:rsidR="00C70939" w:rsidRDefault="008F728B">
            <w:pPr>
              <w:pStyle w:val="TableRowCentered"/>
              <w:jc w:val="left"/>
              <w:rPr>
                <w:sz w:val="22"/>
              </w:rPr>
            </w:pPr>
            <w:r>
              <w:rPr>
                <w:sz w:val="22"/>
              </w:rPr>
              <w:t>4</w:t>
            </w:r>
          </w:p>
        </w:tc>
      </w:tr>
      <w:tr w:rsidR="00C70939" w14:paraId="1874D01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690F1" w14:textId="1E1B51DB" w:rsidR="00C70939" w:rsidRDefault="00C70939">
            <w:pPr>
              <w:pStyle w:val="TableRow"/>
            </w:pPr>
            <w:r>
              <w:t>Uniform/equipment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356AD" w14:textId="76CA283E" w:rsidR="00C70939" w:rsidRDefault="00C54EFF">
            <w:pPr>
              <w:pStyle w:val="TableRowCentered"/>
              <w:jc w:val="left"/>
              <w:rPr>
                <w:sz w:val="22"/>
              </w:rPr>
            </w:pPr>
            <w:r>
              <w:t>We have established that a lack of uniform, PE kit and equipment has been a barrier to regular attendance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0FE9E" w14:textId="09165688" w:rsidR="00C70939" w:rsidRDefault="008F728B">
            <w:pPr>
              <w:pStyle w:val="TableRowCentered"/>
              <w:jc w:val="left"/>
              <w:rPr>
                <w:sz w:val="22"/>
              </w:rPr>
            </w:pPr>
            <w:r>
              <w:rPr>
                <w:sz w:val="22"/>
              </w:rPr>
              <w:t>1,2,3,4</w:t>
            </w:r>
          </w:p>
        </w:tc>
      </w:tr>
      <w:tr w:rsidR="00042B4E" w14:paraId="364EC2D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B0531" w14:textId="02CA000F" w:rsidR="00042B4E" w:rsidRDefault="00206022" w:rsidP="00206022">
            <w:pPr>
              <w:pStyle w:val="TableRow"/>
              <w:ind w:left="0"/>
            </w:pPr>
            <w:r>
              <w:t>A</w:t>
            </w:r>
            <w:r w:rsidR="00042B4E">
              <w:t>ttendance incentives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0583B" w14:textId="444C8F8E" w:rsidR="00D2107A" w:rsidRDefault="00C54EFF" w:rsidP="00CD5253">
            <w:pPr>
              <w:pStyle w:val="TableRowCentered"/>
              <w:jc w:val="left"/>
              <w:rPr>
                <w:color w:val="auto"/>
                <w:szCs w:val="24"/>
              </w:rPr>
            </w:pPr>
            <w:r w:rsidRPr="00CD5253">
              <w:rPr>
                <w:color w:val="auto"/>
                <w:szCs w:val="24"/>
              </w:rPr>
              <w:t>Pastoral support</w:t>
            </w:r>
            <w:r w:rsidR="00CD5253">
              <w:rPr>
                <w:color w:val="auto"/>
                <w:szCs w:val="24"/>
              </w:rPr>
              <w:t xml:space="preserve"> - Youth W</w:t>
            </w:r>
            <w:r w:rsidR="00D2107A" w:rsidRPr="00CD5253">
              <w:rPr>
                <w:color w:val="auto"/>
                <w:szCs w:val="24"/>
              </w:rPr>
              <w:t>orkers are now involved directly in attendance issues, prioritising PP students for attention.</w:t>
            </w:r>
            <w:r w:rsidR="00CD5253">
              <w:rPr>
                <w:color w:val="auto"/>
                <w:szCs w:val="24"/>
              </w:rPr>
              <w:t xml:space="preserve">  This includes home visits and parental engagement in person.</w:t>
            </w:r>
          </w:p>
          <w:p w14:paraId="482C13FA" w14:textId="77777777" w:rsidR="00CD5253" w:rsidRPr="00CD5253" w:rsidRDefault="00CD5253" w:rsidP="00CD5253">
            <w:pPr>
              <w:pStyle w:val="TableRowCentered"/>
              <w:jc w:val="left"/>
              <w:rPr>
                <w:color w:val="auto"/>
                <w:szCs w:val="24"/>
              </w:rPr>
            </w:pPr>
          </w:p>
          <w:p w14:paraId="4DEFD3AF" w14:textId="77777777" w:rsidR="00D2107A" w:rsidRDefault="006A503E">
            <w:pPr>
              <w:pStyle w:val="TableRowCentered"/>
              <w:jc w:val="left"/>
              <w:rPr>
                <w:color w:val="auto"/>
                <w:szCs w:val="24"/>
              </w:rPr>
            </w:pPr>
            <w:r w:rsidRPr="00CD5253">
              <w:rPr>
                <w:color w:val="auto"/>
                <w:szCs w:val="24"/>
              </w:rPr>
              <w:t xml:space="preserve">Pastoral team have new methodologies for tracking </w:t>
            </w:r>
            <w:r w:rsidRPr="00CD5253">
              <w:rPr>
                <w:color w:val="auto"/>
                <w:szCs w:val="24"/>
              </w:rPr>
              <w:lastRenderedPageBreak/>
              <w:t>attendance and supporting improvements in this area</w:t>
            </w:r>
            <w:r w:rsidR="00CD5253">
              <w:rPr>
                <w:color w:val="auto"/>
                <w:szCs w:val="24"/>
              </w:rPr>
              <w:t xml:space="preserve"> alongside key stakeholders</w:t>
            </w:r>
            <w:r w:rsidRPr="00CD5253">
              <w:rPr>
                <w:color w:val="auto"/>
                <w:szCs w:val="24"/>
              </w:rPr>
              <w:t>.</w:t>
            </w:r>
          </w:p>
          <w:p w14:paraId="71787F26" w14:textId="77777777" w:rsidR="00CD5253" w:rsidRDefault="00CD5253">
            <w:pPr>
              <w:pStyle w:val="TableRowCentered"/>
              <w:jc w:val="left"/>
              <w:rPr>
                <w:color w:val="auto"/>
                <w:szCs w:val="24"/>
              </w:rPr>
            </w:pPr>
          </w:p>
          <w:p w14:paraId="2A82E665" w14:textId="280B253C" w:rsidR="00CD5253" w:rsidRPr="00CD5253" w:rsidRDefault="00CD5253">
            <w:pPr>
              <w:pStyle w:val="TableRowCentered"/>
              <w:jc w:val="left"/>
              <w:rPr>
                <w:color w:val="auto"/>
                <w:szCs w:val="24"/>
              </w:rPr>
            </w:pPr>
            <w:r>
              <w:t>There are a range of approaches which aim to improve school attendance. Some parental communication approaches and targeted parental engagement interventions show promise in supporting pupil attendance –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D7001" w14:textId="2D82D4FE" w:rsidR="00042B4E" w:rsidRDefault="00D2107A">
            <w:pPr>
              <w:pStyle w:val="TableRowCentered"/>
              <w:jc w:val="left"/>
              <w:rPr>
                <w:sz w:val="22"/>
              </w:rPr>
            </w:pPr>
            <w:r>
              <w:rPr>
                <w:sz w:val="22"/>
              </w:rPr>
              <w:lastRenderedPageBreak/>
              <w:t>1</w:t>
            </w:r>
          </w:p>
        </w:tc>
      </w:tr>
      <w:tr w:rsidR="0076238E" w14:paraId="148AE73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D9D5E" w14:textId="4C73DBE1" w:rsidR="0076238E" w:rsidRDefault="0076238E">
            <w:pPr>
              <w:pStyle w:val="TableRow"/>
            </w:pPr>
            <w:r>
              <w:lastRenderedPageBreak/>
              <w:t xml:space="preserve">Trust shared </w:t>
            </w:r>
            <w:r w:rsidR="00080F98">
              <w:t>resources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AE6B4" w14:textId="42E3A5FC" w:rsidR="0076238E" w:rsidRDefault="00C54EFF">
            <w:pPr>
              <w:pStyle w:val="TableRowCentered"/>
              <w:jc w:val="left"/>
              <w:rPr>
                <w:sz w:val="22"/>
              </w:rPr>
            </w:pPr>
            <w:r>
              <w:t>Based on our experience, we have identified a need to set a small amount of funding aside for dispersal to respond quickly to needs that have not yet been identified.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17323" w14:textId="7EF41F5F" w:rsidR="0076238E" w:rsidRDefault="006A503E">
            <w:pPr>
              <w:pStyle w:val="TableRowCentered"/>
              <w:jc w:val="left"/>
              <w:rPr>
                <w:sz w:val="22"/>
              </w:rPr>
            </w:pPr>
            <w:r>
              <w:rPr>
                <w:sz w:val="22"/>
              </w:rPr>
              <w:t>1,2,</w:t>
            </w:r>
            <w:r w:rsidR="00C54EFF">
              <w:rPr>
                <w:sz w:val="22"/>
              </w:rPr>
              <w:t>3</w:t>
            </w:r>
            <w:r>
              <w:rPr>
                <w:sz w:val="22"/>
              </w:rPr>
              <w:t>,4</w:t>
            </w:r>
          </w:p>
        </w:tc>
      </w:tr>
      <w:tr w:rsidR="00C54EFF" w14:paraId="728C1BE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CC068" w14:textId="7542575D" w:rsidR="00C54EFF" w:rsidRDefault="00C54EFF">
            <w:pPr>
              <w:pStyle w:val="TableRow"/>
            </w:pPr>
            <w:r>
              <w:t>CEIAG – careers interviews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A0B21" w14:textId="2EAC1A1D" w:rsidR="00C54EFF" w:rsidRDefault="00C54EFF">
            <w:pPr>
              <w:pStyle w:val="TableRowCentered"/>
              <w:jc w:val="left"/>
            </w:pPr>
            <w:r>
              <w:t>Through student voice, it has been identified that low aspiration means that some disadvantaged students settle for ‘good enough’; a number of students do not fully engage with school as they don’t see the value of their qualifications.</w:t>
            </w:r>
          </w:p>
          <w:p w14:paraId="1B72844F" w14:textId="77777777" w:rsidR="00CD5253" w:rsidRDefault="00CD5253">
            <w:pPr>
              <w:pStyle w:val="TableRowCentered"/>
              <w:jc w:val="left"/>
            </w:pPr>
          </w:p>
          <w:p w14:paraId="104C4C83" w14:textId="7ECF9D52" w:rsidR="00D2107A" w:rsidRPr="00CD5253" w:rsidRDefault="00D2107A">
            <w:pPr>
              <w:pStyle w:val="TableRowCentered"/>
              <w:jc w:val="left"/>
              <w:rPr>
                <w:color w:val="auto"/>
              </w:rPr>
            </w:pPr>
            <w:r w:rsidRPr="00CD5253">
              <w:rPr>
                <w:color w:val="auto"/>
              </w:rPr>
              <w:t>PD curriculum is inclusive of specific CEIAG activity.</w:t>
            </w:r>
          </w:p>
          <w:p w14:paraId="7DD3456D" w14:textId="77777777" w:rsidR="00CD5253" w:rsidRPr="00CD5253" w:rsidRDefault="00CD5253">
            <w:pPr>
              <w:pStyle w:val="TableRowCentered"/>
              <w:jc w:val="left"/>
              <w:rPr>
                <w:color w:val="auto"/>
              </w:rPr>
            </w:pPr>
          </w:p>
          <w:p w14:paraId="428E2488" w14:textId="38E246E0" w:rsidR="00D2107A" w:rsidRPr="00D2107A" w:rsidRDefault="00D2107A" w:rsidP="00CD5253">
            <w:pPr>
              <w:pStyle w:val="TableRowCentered"/>
              <w:jc w:val="left"/>
              <w:rPr>
                <w:color w:val="FF0000"/>
              </w:rPr>
            </w:pPr>
            <w:r w:rsidRPr="00CD5253">
              <w:rPr>
                <w:color w:val="auto"/>
              </w:rPr>
              <w:t>Realistic Choices provides 1-1 interviews with all students and fast tracks those at risk of NEET.</w:t>
            </w:r>
            <w:r w:rsidR="00CD5253" w:rsidRPr="00CD5253">
              <w:rPr>
                <w:color w:val="auto"/>
              </w:rPr>
              <w:t xml:space="preserve">  </w:t>
            </w:r>
            <w:r w:rsidRPr="00CD5253">
              <w:rPr>
                <w:color w:val="auto"/>
              </w:rPr>
              <w:t>PP students are prioritised.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C4B92" w14:textId="5D443380" w:rsidR="00C54EFF" w:rsidRDefault="00D2107A">
            <w:pPr>
              <w:pStyle w:val="TableRowCentered"/>
              <w:jc w:val="left"/>
              <w:rPr>
                <w:sz w:val="22"/>
              </w:rPr>
            </w:pPr>
            <w:r>
              <w:rPr>
                <w:sz w:val="22"/>
              </w:rPr>
              <w:t>3</w:t>
            </w:r>
          </w:p>
        </w:tc>
      </w:tr>
    </w:tbl>
    <w:p w14:paraId="2A7D5540" w14:textId="77777777" w:rsidR="00E66558" w:rsidRDefault="00E66558">
      <w:pPr>
        <w:spacing w:before="240" w:after="0"/>
        <w:rPr>
          <w:b/>
          <w:bCs/>
          <w:color w:val="104F75"/>
          <w:sz w:val="28"/>
          <w:szCs w:val="28"/>
        </w:rPr>
      </w:pPr>
    </w:p>
    <w:p w14:paraId="2A7D5541" w14:textId="28435A89" w:rsidR="00E66558" w:rsidRDefault="009D71E8" w:rsidP="00120AB1">
      <w:r>
        <w:rPr>
          <w:b/>
          <w:bCs/>
          <w:color w:val="104F75"/>
          <w:sz w:val="28"/>
          <w:szCs w:val="28"/>
        </w:rPr>
        <w:t xml:space="preserve">Total budgeted cost: £ </w:t>
      </w:r>
      <w:r w:rsidR="00DA102C" w:rsidRPr="00CD5253">
        <w:rPr>
          <w:i/>
          <w:iCs/>
          <w:color w:val="auto"/>
          <w:sz w:val="28"/>
          <w:szCs w:val="28"/>
        </w:rPr>
        <w:t>259,785</w:t>
      </w:r>
    </w:p>
    <w:p w14:paraId="2A7D5542" w14:textId="18352EC3" w:rsidR="00E66558" w:rsidRPr="00064366" w:rsidRDefault="009D71E8" w:rsidP="00064366">
      <w:pPr>
        <w:pStyle w:val="Heading1"/>
      </w:pPr>
      <w:r w:rsidRPr="00064366">
        <w:lastRenderedPageBreak/>
        <w:t>Part B: Review of the previous academic year</w:t>
      </w:r>
    </w:p>
    <w:p w14:paraId="751285B7" w14:textId="1F610903" w:rsidR="008B6404" w:rsidRDefault="00064366" w:rsidP="00173D4C">
      <w:pPr>
        <w:pStyle w:val="Heading2"/>
      </w:pPr>
      <w:r w:rsidRPr="00173D4C">
        <w:t>Outcomes for disadvantaged pupils</w:t>
      </w:r>
    </w:p>
    <w:p w14:paraId="09A76AB3" w14:textId="21909874" w:rsidR="00EA2FCF" w:rsidRPr="00FE51D6" w:rsidRDefault="00EA2FCF" w:rsidP="00EA2FCF">
      <w:pPr>
        <w:autoSpaceDN/>
        <w:spacing w:before="120"/>
        <w:rPr>
          <w:rFonts w:cs="Arial"/>
          <w:color w:val="auto"/>
          <w:lang w:eastAsia="en-US"/>
        </w:rPr>
      </w:pPr>
      <w:r>
        <w:rPr>
          <w:rFonts w:cs="Arial"/>
          <w:color w:val="auto"/>
          <w:lang w:eastAsia="en-US"/>
        </w:rPr>
        <w:t>We have analysed the performance of our school’s disa</w:t>
      </w:r>
      <w:r w:rsidR="00CD5253">
        <w:rPr>
          <w:rFonts w:cs="Arial"/>
          <w:color w:val="auto"/>
          <w:lang w:eastAsia="en-US"/>
        </w:rPr>
        <w:t>dvantaged students</w:t>
      </w:r>
      <w:r w:rsidR="00550E99">
        <w:rPr>
          <w:rFonts w:cs="Arial"/>
          <w:color w:val="auto"/>
          <w:lang w:eastAsia="en-US"/>
        </w:rPr>
        <w:t xml:space="preserve"> during the 2022</w:t>
      </w:r>
      <w:r>
        <w:rPr>
          <w:rFonts w:cs="Arial"/>
          <w:color w:val="auto"/>
          <w:lang w:eastAsia="en-US"/>
        </w:rPr>
        <w:t>/2</w:t>
      </w:r>
      <w:r w:rsidR="00550E99">
        <w:rPr>
          <w:rFonts w:cs="Arial"/>
          <w:color w:val="auto"/>
          <w:lang w:eastAsia="en-US"/>
        </w:rPr>
        <w:t>3</w:t>
      </w:r>
      <w:r>
        <w:rPr>
          <w:rFonts w:cs="Arial"/>
          <w:color w:val="auto"/>
          <w:lang w:eastAsia="en-US"/>
        </w:rPr>
        <w:t xml:space="preserve"> academic year using key stage 4 performance data and our own internal assessments.</w:t>
      </w:r>
    </w:p>
    <w:p w14:paraId="76B5043B" w14:textId="522CC6C9" w:rsidR="00EA2FCF" w:rsidRPr="00CD5253" w:rsidRDefault="001A0885" w:rsidP="00EA2FCF">
      <w:pPr>
        <w:autoSpaceDN/>
        <w:spacing w:before="120"/>
        <w:rPr>
          <w:color w:val="auto"/>
          <w:lang w:eastAsia="en-US"/>
        </w:rPr>
      </w:pPr>
      <w:r w:rsidRPr="00CD5253">
        <w:rPr>
          <w:color w:val="auto"/>
          <w:lang w:eastAsia="en-US"/>
        </w:rPr>
        <w:t>For 2023</w:t>
      </w:r>
      <w:r w:rsidR="00EA2FCF" w:rsidRPr="00CD5253">
        <w:rPr>
          <w:color w:val="auto"/>
          <w:lang w:eastAsia="en-US"/>
        </w:rPr>
        <w:t>, the Progress 8 score fo</w:t>
      </w:r>
      <w:r w:rsidR="00CD5253">
        <w:rPr>
          <w:color w:val="auto"/>
          <w:lang w:eastAsia="en-US"/>
        </w:rPr>
        <w:t>r our disadvantaged student</w:t>
      </w:r>
      <w:r w:rsidR="00EA2FCF" w:rsidRPr="00CD5253">
        <w:rPr>
          <w:color w:val="auto"/>
          <w:lang w:eastAsia="en-US"/>
        </w:rPr>
        <w:t>s was</w:t>
      </w:r>
      <w:r w:rsidRPr="00CD5253">
        <w:rPr>
          <w:color w:val="auto"/>
          <w:lang w:eastAsia="en-US"/>
        </w:rPr>
        <w:t xml:space="preserve"> -0.99 from </w:t>
      </w:r>
      <w:r w:rsidR="00EA2FCF" w:rsidRPr="00CD5253">
        <w:rPr>
          <w:color w:val="auto"/>
          <w:lang w:eastAsia="en-US"/>
        </w:rPr>
        <w:t>-1.12</w:t>
      </w:r>
      <w:r w:rsidRPr="00CD5253">
        <w:rPr>
          <w:color w:val="auto"/>
          <w:lang w:eastAsia="en-US"/>
        </w:rPr>
        <w:t xml:space="preserve"> the previous year</w:t>
      </w:r>
      <w:r w:rsidR="00EA2FCF" w:rsidRPr="00CD5253">
        <w:rPr>
          <w:color w:val="auto"/>
          <w:lang w:eastAsia="en-US"/>
        </w:rPr>
        <w:t>.</w:t>
      </w:r>
      <w:r w:rsidRPr="00CD5253">
        <w:rPr>
          <w:color w:val="auto"/>
          <w:lang w:eastAsia="en-US"/>
        </w:rPr>
        <w:t xml:space="preserve">  </w:t>
      </w:r>
      <w:r w:rsidR="00EA2FCF" w:rsidRPr="00CD5253">
        <w:rPr>
          <w:color w:val="auto"/>
          <w:lang w:eastAsia="en-US"/>
        </w:rPr>
        <w:t xml:space="preserve">For Attainment 8 it was </w:t>
      </w:r>
      <w:r w:rsidRPr="00CD5253">
        <w:rPr>
          <w:color w:val="auto"/>
          <w:lang w:eastAsia="en-US"/>
        </w:rPr>
        <w:t xml:space="preserve">31.96 in 2023 in comparison to </w:t>
      </w:r>
      <w:r w:rsidR="00EA2FCF" w:rsidRPr="00CD5253">
        <w:rPr>
          <w:color w:val="auto"/>
          <w:lang w:eastAsia="en-US"/>
        </w:rPr>
        <w:t>31.35</w:t>
      </w:r>
      <w:r w:rsidRPr="00CD5253">
        <w:rPr>
          <w:color w:val="auto"/>
          <w:lang w:eastAsia="en-US"/>
        </w:rPr>
        <w:t xml:space="preserve"> in 2022</w:t>
      </w:r>
      <w:r w:rsidR="00EA2FCF" w:rsidRPr="00CD5253">
        <w:rPr>
          <w:color w:val="auto"/>
          <w:lang w:eastAsia="en-US"/>
        </w:rPr>
        <w:t xml:space="preserve">. </w:t>
      </w:r>
      <w:r w:rsidRPr="00CD5253">
        <w:rPr>
          <w:color w:val="auto"/>
          <w:lang w:eastAsia="en-US"/>
        </w:rPr>
        <w:t>This is in contrast to non-disadvantaged Attainment 8 of 43.50 and Progress 8 score of -0.44.</w:t>
      </w:r>
      <w:r w:rsidR="00CD5253" w:rsidRPr="00CD5253">
        <w:rPr>
          <w:color w:val="auto"/>
          <w:lang w:eastAsia="en-US"/>
        </w:rPr>
        <w:t xml:space="preserve">  The outcomes and progress measures indicate that prior strategies have had some positive impact.</w:t>
      </w:r>
    </w:p>
    <w:p w14:paraId="197035E9" w14:textId="2436C500" w:rsidR="00EA2FCF" w:rsidRDefault="001A0885" w:rsidP="00EA2FCF">
      <w:pPr>
        <w:autoSpaceDN/>
        <w:spacing w:before="120"/>
        <w:rPr>
          <w:color w:val="auto"/>
          <w:lang w:eastAsia="en-US"/>
        </w:rPr>
      </w:pPr>
      <w:r w:rsidRPr="00CD5253">
        <w:rPr>
          <w:color w:val="auto"/>
          <w:lang w:eastAsia="en-US"/>
        </w:rPr>
        <w:t xml:space="preserve">While progress has been made, this is not in-line with the school’s expectations.  The gap between PP and non-disadvantaged </w:t>
      </w:r>
      <w:r w:rsidR="00550E99" w:rsidRPr="00CD5253">
        <w:rPr>
          <w:color w:val="auto"/>
          <w:lang w:eastAsia="en-US"/>
        </w:rPr>
        <w:t>has reduced from 2022, but it has grown from 2019.  This is partially explicable by an improvement in attainment and progress in non-disadvantaged students from 2019.  The gap currently stands at 0.62 in comparison to 0.74 in 21/22.</w:t>
      </w:r>
      <w:r w:rsidRPr="00CD5253">
        <w:rPr>
          <w:color w:val="auto"/>
          <w:lang w:eastAsia="en-US"/>
        </w:rPr>
        <w:t xml:space="preserve">  </w:t>
      </w:r>
    </w:p>
    <w:p w14:paraId="57E7BA8C" w14:textId="4ECA9266" w:rsidR="00EA2FCF" w:rsidRPr="00EC7F1F" w:rsidRDefault="00EA2FCF" w:rsidP="00EA2FCF">
      <w:pPr>
        <w:autoSpaceDN/>
        <w:spacing w:after="120"/>
        <w:rPr>
          <w:rStyle w:val="normaltextrun"/>
          <w:rFonts w:cs="Arial"/>
          <w:color w:val="auto"/>
          <w:shd w:val="clear" w:color="auto" w:fill="FFFFFF"/>
        </w:rPr>
      </w:pPr>
      <w:r w:rsidRPr="00A50F03">
        <w:rPr>
          <w:rStyle w:val="normaltextrun"/>
          <w:rFonts w:cs="Arial"/>
          <w:color w:val="auto"/>
        </w:rPr>
        <w:t>Our assessments demonstrated that pupil </w:t>
      </w:r>
      <w:r w:rsidR="002C000D">
        <w:rPr>
          <w:rStyle w:val="normaltextrun"/>
          <w:rFonts w:cs="Arial"/>
          <w:color w:val="auto"/>
        </w:rPr>
        <w:t>engagement</w:t>
      </w:r>
      <w:r>
        <w:rPr>
          <w:rStyle w:val="normaltextrun"/>
          <w:rFonts w:cs="Arial"/>
          <w:color w:val="auto"/>
        </w:rPr>
        <w:t xml:space="preserve"> improved last year</w:t>
      </w:r>
      <w:r w:rsidRPr="00A50F03">
        <w:rPr>
          <w:rStyle w:val="normaltextrun"/>
          <w:rFonts w:cs="Arial"/>
          <w:color w:val="auto"/>
        </w:rPr>
        <w:t xml:space="preserve">, </w:t>
      </w:r>
      <w:r>
        <w:rPr>
          <w:rStyle w:val="normaltextrun"/>
          <w:rFonts w:cs="Arial"/>
          <w:color w:val="auto"/>
        </w:rPr>
        <w:t xml:space="preserve">but challenges around </w:t>
      </w:r>
      <w:r w:rsidRPr="00A50F03">
        <w:rPr>
          <w:rStyle w:val="normaltextrun"/>
          <w:rFonts w:cs="Arial"/>
          <w:color w:val="auto"/>
        </w:rPr>
        <w:t>wellbeing and mental health </w:t>
      </w:r>
      <w:r>
        <w:rPr>
          <w:rStyle w:val="normaltextrun"/>
          <w:rFonts w:cs="Arial"/>
          <w:color w:val="auto"/>
        </w:rPr>
        <w:t>remain significantly</w:t>
      </w:r>
      <w:r w:rsidR="00CD5253">
        <w:rPr>
          <w:rStyle w:val="normaltextrun"/>
          <w:rFonts w:cs="Arial"/>
          <w:color w:val="auto"/>
        </w:rPr>
        <w:t xml:space="preserve"> higher than before 2020</w:t>
      </w:r>
      <w:r>
        <w:rPr>
          <w:rStyle w:val="normaltextrun"/>
          <w:rFonts w:cs="Arial"/>
          <w:color w:val="auto"/>
        </w:rPr>
        <w:t xml:space="preserve">. </w:t>
      </w:r>
      <w:r w:rsidRPr="00A50F03">
        <w:rPr>
          <w:rStyle w:val="normaltextrun"/>
          <w:rFonts w:cs="Arial"/>
          <w:color w:val="auto"/>
        </w:rPr>
        <w:t>The impact</w:t>
      </w:r>
      <w:r>
        <w:rPr>
          <w:rStyle w:val="normaltextrun"/>
          <w:rFonts w:cs="Arial"/>
          <w:color w:val="auto"/>
        </w:rPr>
        <w:t xml:space="preserve"> on disadvantaged pupils has been</w:t>
      </w:r>
      <w:r w:rsidRPr="00A50F03">
        <w:rPr>
          <w:rStyle w:val="normaltextrun"/>
          <w:rFonts w:cs="Arial"/>
          <w:color w:val="auto"/>
        </w:rPr>
        <w:t xml:space="preserve"> particularly acute</w:t>
      </w:r>
      <w:r>
        <w:rPr>
          <w:rStyle w:val="normaltextrun"/>
          <w:rFonts w:cs="Arial"/>
          <w:color w:val="auto"/>
        </w:rPr>
        <w:t>.</w:t>
      </w:r>
    </w:p>
    <w:p w14:paraId="68A3789A" w14:textId="0F11BAF5" w:rsidR="00EA2FCF" w:rsidRDefault="00EA2FCF" w:rsidP="00EA2FCF">
      <w:r>
        <w:rPr>
          <w:color w:val="auto"/>
          <w:lang w:eastAsia="en-US"/>
        </w:rPr>
        <w:t>We have reviewed our strategy plan and made changes to how we intend to use some of our budget this academic year, as set out in the Activity in This Academic Year section above. The Further Information section below provides more details about our planning, implementation, and evaluation processes.</w:t>
      </w:r>
    </w:p>
    <w:p w14:paraId="2320F371" w14:textId="77777777" w:rsidR="00EA2FCF" w:rsidRPr="00EA2FCF" w:rsidRDefault="00EA2FCF" w:rsidP="00EA2FCF"/>
    <w:p w14:paraId="2A7D5548" w14:textId="0199D85C" w:rsidR="00E66558" w:rsidRDefault="006D6372" w:rsidP="00A82A98">
      <w:pPr>
        <w:pStyle w:val="Heading2"/>
      </w:pPr>
      <w:r>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0FADBF6" w:rsidR="00E66558" w:rsidRDefault="009F0706" w:rsidP="009F0706">
            <w:pPr>
              <w:pStyle w:val="TableRow"/>
              <w:ind w:left="0"/>
            </w:pPr>
            <w:r>
              <w:t>National tutoring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4BEEC5B" w:rsidR="00E66558" w:rsidRDefault="008342CC">
            <w:pPr>
              <w:pStyle w:val="TableRowCentered"/>
              <w:jc w:val="left"/>
            </w:pPr>
            <w:r>
              <w:t>TBC</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193B71B2" w:rsidR="00E66558" w:rsidRDefault="00E66558" w:rsidP="0008384B"/>
    <w:bookmarkEnd w:id="14"/>
    <w:bookmarkEnd w:id="15"/>
    <w:bookmarkEnd w:id="16"/>
    <w:p w14:paraId="5B48A893" w14:textId="5928CFEA" w:rsidR="0008384B" w:rsidRDefault="0008384B" w:rsidP="0008384B"/>
    <w:sectPr w:rsidR="0008384B">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A8C01" w14:textId="77777777" w:rsidR="00643D81" w:rsidRDefault="00643D81">
      <w:pPr>
        <w:spacing w:after="0" w:line="240" w:lineRule="auto"/>
      </w:pPr>
      <w:r>
        <w:separator/>
      </w:r>
    </w:p>
  </w:endnote>
  <w:endnote w:type="continuationSeparator" w:id="0">
    <w:p w14:paraId="6F18EAD9" w14:textId="77777777" w:rsidR="00643D81" w:rsidRDefault="00643D81">
      <w:pPr>
        <w:spacing w:after="0" w:line="240" w:lineRule="auto"/>
      </w:pPr>
      <w:r>
        <w:continuationSeparator/>
      </w:r>
    </w:p>
  </w:endnote>
  <w:endnote w:type="continuationNotice" w:id="1">
    <w:p w14:paraId="6F850E96" w14:textId="77777777" w:rsidR="00643D81" w:rsidRDefault="00643D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E382639" w:rsidR="00C373EA" w:rsidRDefault="009D71E8">
    <w:pPr>
      <w:pStyle w:val="Footer"/>
      <w:ind w:firstLine="4513"/>
    </w:pPr>
    <w:r>
      <w:fldChar w:fldCharType="begin"/>
    </w:r>
    <w:r>
      <w:instrText xml:space="preserve"> PAGE </w:instrText>
    </w:r>
    <w:r>
      <w:fldChar w:fldCharType="separate"/>
    </w:r>
    <w:r w:rsidR="00F81F6A">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7D5FE" w14:textId="77777777" w:rsidR="00643D81" w:rsidRDefault="00643D81">
      <w:pPr>
        <w:spacing w:after="0" w:line="240" w:lineRule="auto"/>
      </w:pPr>
      <w:r>
        <w:separator/>
      </w:r>
    </w:p>
  </w:footnote>
  <w:footnote w:type="continuationSeparator" w:id="0">
    <w:p w14:paraId="313E3040" w14:textId="77777777" w:rsidR="00643D81" w:rsidRDefault="00643D81">
      <w:pPr>
        <w:spacing w:after="0" w:line="240" w:lineRule="auto"/>
      </w:pPr>
      <w:r>
        <w:continuationSeparator/>
      </w:r>
    </w:p>
  </w:footnote>
  <w:footnote w:type="continuationNotice" w:id="1">
    <w:p w14:paraId="25FCB22C" w14:textId="77777777" w:rsidR="00643D81" w:rsidRDefault="00643D8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621E7"/>
    <w:multiLevelType w:val="hybridMultilevel"/>
    <w:tmpl w:val="6B447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9"/>
  </w:num>
  <w:num w:numId="8">
    <w:abstractNumId w:val="14"/>
  </w:num>
  <w:num w:numId="9">
    <w:abstractNumId w:val="12"/>
  </w:num>
  <w:num w:numId="10">
    <w:abstractNumId w:val="10"/>
  </w:num>
  <w:num w:numId="11">
    <w:abstractNumId w:val="3"/>
  </w:num>
  <w:num w:numId="12">
    <w:abstractNumId w:val="13"/>
  </w:num>
  <w:num w:numId="13">
    <w:abstractNumId w:val="8"/>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23729"/>
    <w:rsid w:val="000243B4"/>
    <w:rsid w:val="000275B5"/>
    <w:rsid w:val="00042B4E"/>
    <w:rsid w:val="000452EB"/>
    <w:rsid w:val="000463AE"/>
    <w:rsid w:val="00047FEB"/>
    <w:rsid w:val="000507A3"/>
    <w:rsid w:val="00060A62"/>
    <w:rsid w:val="00064366"/>
    <w:rsid w:val="00066B73"/>
    <w:rsid w:val="000706DB"/>
    <w:rsid w:val="00071481"/>
    <w:rsid w:val="00075FAE"/>
    <w:rsid w:val="00080F98"/>
    <w:rsid w:val="00080FD1"/>
    <w:rsid w:val="00082F38"/>
    <w:rsid w:val="0008384B"/>
    <w:rsid w:val="000929EC"/>
    <w:rsid w:val="00093CDE"/>
    <w:rsid w:val="000A6379"/>
    <w:rsid w:val="000D22B0"/>
    <w:rsid w:val="000D35C9"/>
    <w:rsid w:val="000D520C"/>
    <w:rsid w:val="000D6596"/>
    <w:rsid w:val="000E6DF0"/>
    <w:rsid w:val="000F2289"/>
    <w:rsid w:val="001037CB"/>
    <w:rsid w:val="0010629E"/>
    <w:rsid w:val="001066FE"/>
    <w:rsid w:val="00115538"/>
    <w:rsid w:val="00120AB1"/>
    <w:rsid w:val="00123A7F"/>
    <w:rsid w:val="001278D0"/>
    <w:rsid w:val="00127F72"/>
    <w:rsid w:val="00140646"/>
    <w:rsid w:val="00147A4B"/>
    <w:rsid w:val="001671ED"/>
    <w:rsid w:val="001727FA"/>
    <w:rsid w:val="00173D4C"/>
    <w:rsid w:val="00183218"/>
    <w:rsid w:val="00185988"/>
    <w:rsid w:val="001873B6"/>
    <w:rsid w:val="001901E6"/>
    <w:rsid w:val="00191305"/>
    <w:rsid w:val="00195B55"/>
    <w:rsid w:val="001A0885"/>
    <w:rsid w:val="001A2FE8"/>
    <w:rsid w:val="001A33AC"/>
    <w:rsid w:val="001C1C51"/>
    <w:rsid w:val="001E0ECA"/>
    <w:rsid w:val="001E206F"/>
    <w:rsid w:val="001E5750"/>
    <w:rsid w:val="001E7739"/>
    <w:rsid w:val="001F3DB4"/>
    <w:rsid w:val="00204F40"/>
    <w:rsid w:val="00205DEF"/>
    <w:rsid w:val="00206022"/>
    <w:rsid w:val="00212B44"/>
    <w:rsid w:val="00216C8A"/>
    <w:rsid w:val="00226317"/>
    <w:rsid w:val="00231539"/>
    <w:rsid w:val="002523E3"/>
    <w:rsid w:val="0026540D"/>
    <w:rsid w:val="00266FA5"/>
    <w:rsid w:val="002920F4"/>
    <w:rsid w:val="002940F3"/>
    <w:rsid w:val="00295842"/>
    <w:rsid w:val="002B3574"/>
    <w:rsid w:val="002B6B74"/>
    <w:rsid w:val="002C000D"/>
    <w:rsid w:val="002C6AE7"/>
    <w:rsid w:val="002D2D4B"/>
    <w:rsid w:val="002D3805"/>
    <w:rsid w:val="002E66AE"/>
    <w:rsid w:val="002E7763"/>
    <w:rsid w:val="002F0F32"/>
    <w:rsid w:val="002F5842"/>
    <w:rsid w:val="00304CB3"/>
    <w:rsid w:val="00306CB7"/>
    <w:rsid w:val="003111F5"/>
    <w:rsid w:val="00312509"/>
    <w:rsid w:val="00336200"/>
    <w:rsid w:val="00337418"/>
    <w:rsid w:val="00351D83"/>
    <w:rsid w:val="00353E46"/>
    <w:rsid w:val="003576C4"/>
    <w:rsid w:val="00366AB0"/>
    <w:rsid w:val="0037437C"/>
    <w:rsid w:val="0038146B"/>
    <w:rsid w:val="0038340F"/>
    <w:rsid w:val="00384457"/>
    <w:rsid w:val="00384F24"/>
    <w:rsid w:val="003A32B2"/>
    <w:rsid w:val="003A47DD"/>
    <w:rsid w:val="003A56A5"/>
    <w:rsid w:val="003A618C"/>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46ED7"/>
    <w:rsid w:val="00452267"/>
    <w:rsid w:val="00453307"/>
    <w:rsid w:val="00457E36"/>
    <w:rsid w:val="00462F8F"/>
    <w:rsid w:val="00481D56"/>
    <w:rsid w:val="00490408"/>
    <w:rsid w:val="004A4C45"/>
    <w:rsid w:val="004B0485"/>
    <w:rsid w:val="004B428E"/>
    <w:rsid w:val="004B4D37"/>
    <w:rsid w:val="004B6132"/>
    <w:rsid w:val="004C42F0"/>
    <w:rsid w:val="004E1D73"/>
    <w:rsid w:val="0051286E"/>
    <w:rsid w:val="00516021"/>
    <w:rsid w:val="00516457"/>
    <w:rsid w:val="00520A0C"/>
    <w:rsid w:val="00530E37"/>
    <w:rsid w:val="00537196"/>
    <w:rsid w:val="005464A1"/>
    <w:rsid w:val="00546F12"/>
    <w:rsid w:val="00550E99"/>
    <w:rsid w:val="005510EE"/>
    <w:rsid w:val="0055339C"/>
    <w:rsid w:val="00562B3C"/>
    <w:rsid w:val="00564E40"/>
    <w:rsid w:val="005750E2"/>
    <w:rsid w:val="0058313F"/>
    <w:rsid w:val="00585859"/>
    <w:rsid w:val="00586FBC"/>
    <w:rsid w:val="005879C9"/>
    <w:rsid w:val="005A3C6B"/>
    <w:rsid w:val="005B1EA5"/>
    <w:rsid w:val="005B4428"/>
    <w:rsid w:val="005D7176"/>
    <w:rsid w:val="005E1F24"/>
    <w:rsid w:val="005E73F1"/>
    <w:rsid w:val="005F07EF"/>
    <w:rsid w:val="00600B2E"/>
    <w:rsid w:val="00607CEB"/>
    <w:rsid w:val="00613299"/>
    <w:rsid w:val="0061762D"/>
    <w:rsid w:val="00634238"/>
    <w:rsid w:val="00635FBC"/>
    <w:rsid w:val="00637728"/>
    <w:rsid w:val="0064113A"/>
    <w:rsid w:val="00643D81"/>
    <w:rsid w:val="00644002"/>
    <w:rsid w:val="006458B1"/>
    <w:rsid w:val="00650529"/>
    <w:rsid w:val="00650BAB"/>
    <w:rsid w:val="00651737"/>
    <w:rsid w:val="006671BF"/>
    <w:rsid w:val="00672A7D"/>
    <w:rsid w:val="00673B3F"/>
    <w:rsid w:val="00681416"/>
    <w:rsid w:val="006A06F5"/>
    <w:rsid w:val="006A0ED2"/>
    <w:rsid w:val="006A503E"/>
    <w:rsid w:val="006B0A73"/>
    <w:rsid w:val="006B5A6B"/>
    <w:rsid w:val="006C0F82"/>
    <w:rsid w:val="006C332E"/>
    <w:rsid w:val="006C5901"/>
    <w:rsid w:val="006D6372"/>
    <w:rsid w:val="006D6E5C"/>
    <w:rsid w:val="006E02AF"/>
    <w:rsid w:val="006E0786"/>
    <w:rsid w:val="006E6B4A"/>
    <w:rsid w:val="006E7449"/>
    <w:rsid w:val="006E7FB1"/>
    <w:rsid w:val="006F0A8A"/>
    <w:rsid w:val="006F2604"/>
    <w:rsid w:val="006F5319"/>
    <w:rsid w:val="006F55FD"/>
    <w:rsid w:val="006F5D21"/>
    <w:rsid w:val="00711BE3"/>
    <w:rsid w:val="00724FA7"/>
    <w:rsid w:val="00725415"/>
    <w:rsid w:val="00727505"/>
    <w:rsid w:val="00731581"/>
    <w:rsid w:val="00741B9E"/>
    <w:rsid w:val="00743DAC"/>
    <w:rsid w:val="007516E5"/>
    <w:rsid w:val="0075337B"/>
    <w:rsid w:val="00755CD4"/>
    <w:rsid w:val="00757F96"/>
    <w:rsid w:val="007617F4"/>
    <w:rsid w:val="0076238E"/>
    <w:rsid w:val="00785285"/>
    <w:rsid w:val="0078529D"/>
    <w:rsid w:val="00787DC1"/>
    <w:rsid w:val="00794070"/>
    <w:rsid w:val="007A713B"/>
    <w:rsid w:val="007B64E5"/>
    <w:rsid w:val="007C2F04"/>
    <w:rsid w:val="007F1EF9"/>
    <w:rsid w:val="007F5B8B"/>
    <w:rsid w:val="00817E9A"/>
    <w:rsid w:val="00830D57"/>
    <w:rsid w:val="008342CC"/>
    <w:rsid w:val="00860B07"/>
    <w:rsid w:val="008616F6"/>
    <w:rsid w:val="0086259C"/>
    <w:rsid w:val="00870EAE"/>
    <w:rsid w:val="00883F24"/>
    <w:rsid w:val="00897E1F"/>
    <w:rsid w:val="008B2CB4"/>
    <w:rsid w:val="008B6404"/>
    <w:rsid w:val="008C2AA4"/>
    <w:rsid w:val="008C2C21"/>
    <w:rsid w:val="008C7DD3"/>
    <w:rsid w:val="008D0970"/>
    <w:rsid w:val="008E000B"/>
    <w:rsid w:val="008E2926"/>
    <w:rsid w:val="008E35C6"/>
    <w:rsid w:val="008E3F49"/>
    <w:rsid w:val="008F243B"/>
    <w:rsid w:val="008F4675"/>
    <w:rsid w:val="008F728B"/>
    <w:rsid w:val="00904A66"/>
    <w:rsid w:val="00917491"/>
    <w:rsid w:val="0092287F"/>
    <w:rsid w:val="0092495B"/>
    <w:rsid w:val="0092660E"/>
    <w:rsid w:val="00936519"/>
    <w:rsid w:val="00941DA3"/>
    <w:rsid w:val="00942C0C"/>
    <w:rsid w:val="009539E3"/>
    <w:rsid w:val="00954A5E"/>
    <w:rsid w:val="009551B2"/>
    <w:rsid w:val="00964625"/>
    <w:rsid w:val="00981C1D"/>
    <w:rsid w:val="0099109C"/>
    <w:rsid w:val="009936DB"/>
    <w:rsid w:val="00993CFC"/>
    <w:rsid w:val="009A1DC2"/>
    <w:rsid w:val="009A1E3C"/>
    <w:rsid w:val="009C0914"/>
    <w:rsid w:val="009C27E5"/>
    <w:rsid w:val="009D4C43"/>
    <w:rsid w:val="009D71E8"/>
    <w:rsid w:val="009E104B"/>
    <w:rsid w:val="009E7DE4"/>
    <w:rsid w:val="009F0706"/>
    <w:rsid w:val="009F3BBD"/>
    <w:rsid w:val="00A063DD"/>
    <w:rsid w:val="00A078C8"/>
    <w:rsid w:val="00A112B5"/>
    <w:rsid w:val="00A14EEA"/>
    <w:rsid w:val="00A25BF9"/>
    <w:rsid w:val="00A316E7"/>
    <w:rsid w:val="00A35620"/>
    <w:rsid w:val="00A36089"/>
    <w:rsid w:val="00A44FBB"/>
    <w:rsid w:val="00A50104"/>
    <w:rsid w:val="00A522E0"/>
    <w:rsid w:val="00A63579"/>
    <w:rsid w:val="00A638AC"/>
    <w:rsid w:val="00A727E5"/>
    <w:rsid w:val="00A748B5"/>
    <w:rsid w:val="00A80A32"/>
    <w:rsid w:val="00A82A98"/>
    <w:rsid w:val="00A82D16"/>
    <w:rsid w:val="00A9270D"/>
    <w:rsid w:val="00A95F75"/>
    <w:rsid w:val="00A96B83"/>
    <w:rsid w:val="00A97645"/>
    <w:rsid w:val="00AA355B"/>
    <w:rsid w:val="00AA42E5"/>
    <w:rsid w:val="00AB24FA"/>
    <w:rsid w:val="00AC38D1"/>
    <w:rsid w:val="00AD7B5A"/>
    <w:rsid w:val="00AE229F"/>
    <w:rsid w:val="00AF5E20"/>
    <w:rsid w:val="00B002FA"/>
    <w:rsid w:val="00B00327"/>
    <w:rsid w:val="00B024B3"/>
    <w:rsid w:val="00B11DE8"/>
    <w:rsid w:val="00B179ED"/>
    <w:rsid w:val="00B20E18"/>
    <w:rsid w:val="00B572C4"/>
    <w:rsid w:val="00B60858"/>
    <w:rsid w:val="00B74D4E"/>
    <w:rsid w:val="00B80219"/>
    <w:rsid w:val="00BA19A5"/>
    <w:rsid w:val="00BC67F6"/>
    <w:rsid w:val="00BD2004"/>
    <w:rsid w:val="00BD4B12"/>
    <w:rsid w:val="00BE2F92"/>
    <w:rsid w:val="00BF0D5F"/>
    <w:rsid w:val="00C11EB4"/>
    <w:rsid w:val="00C12746"/>
    <w:rsid w:val="00C25827"/>
    <w:rsid w:val="00C31BB8"/>
    <w:rsid w:val="00C373EA"/>
    <w:rsid w:val="00C54EFF"/>
    <w:rsid w:val="00C621C1"/>
    <w:rsid w:val="00C62989"/>
    <w:rsid w:val="00C65CBB"/>
    <w:rsid w:val="00C70939"/>
    <w:rsid w:val="00C80F37"/>
    <w:rsid w:val="00C97A7F"/>
    <w:rsid w:val="00CB5B17"/>
    <w:rsid w:val="00CC100A"/>
    <w:rsid w:val="00CC4443"/>
    <w:rsid w:val="00CC5CAF"/>
    <w:rsid w:val="00CD5253"/>
    <w:rsid w:val="00D06874"/>
    <w:rsid w:val="00D173F7"/>
    <w:rsid w:val="00D20203"/>
    <w:rsid w:val="00D204E0"/>
    <w:rsid w:val="00D2107A"/>
    <w:rsid w:val="00D21354"/>
    <w:rsid w:val="00D22400"/>
    <w:rsid w:val="00D278BA"/>
    <w:rsid w:val="00D33FE5"/>
    <w:rsid w:val="00D3578A"/>
    <w:rsid w:val="00D4463C"/>
    <w:rsid w:val="00D501EE"/>
    <w:rsid w:val="00D517DC"/>
    <w:rsid w:val="00D5590D"/>
    <w:rsid w:val="00D618E4"/>
    <w:rsid w:val="00D61DA5"/>
    <w:rsid w:val="00D7798B"/>
    <w:rsid w:val="00D875ED"/>
    <w:rsid w:val="00D877D0"/>
    <w:rsid w:val="00D90013"/>
    <w:rsid w:val="00D91B9C"/>
    <w:rsid w:val="00D92C1B"/>
    <w:rsid w:val="00D94CC7"/>
    <w:rsid w:val="00D97D2D"/>
    <w:rsid w:val="00DA102C"/>
    <w:rsid w:val="00DA1AF4"/>
    <w:rsid w:val="00DB0C60"/>
    <w:rsid w:val="00DC223E"/>
    <w:rsid w:val="00DC641A"/>
    <w:rsid w:val="00DD6B7D"/>
    <w:rsid w:val="00DD6E14"/>
    <w:rsid w:val="00DE15AC"/>
    <w:rsid w:val="00E061EC"/>
    <w:rsid w:val="00E13E51"/>
    <w:rsid w:val="00E43EAD"/>
    <w:rsid w:val="00E62DCB"/>
    <w:rsid w:val="00E651DD"/>
    <w:rsid w:val="00E66558"/>
    <w:rsid w:val="00E70D81"/>
    <w:rsid w:val="00E726A6"/>
    <w:rsid w:val="00E8511B"/>
    <w:rsid w:val="00E86F05"/>
    <w:rsid w:val="00EA2FCF"/>
    <w:rsid w:val="00EA3A2A"/>
    <w:rsid w:val="00EB4556"/>
    <w:rsid w:val="00EB64C8"/>
    <w:rsid w:val="00ED5108"/>
    <w:rsid w:val="00EF271F"/>
    <w:rsid w:val="00F012CA"/>
    <w:rsid w:val="00F01752"/>
    <w:rsid w:val="00F0355A"/>
    <w:rsid w:val="00F05A79"/>
    <w:rsid w:val="00F24A7E"/>
    <w:rsid w:val="00F33DC0"/>
    <w:rsid w:val="00F62587"/>
    <w:rsid w:val="00F63E9E"/>
    <w:rsid w:val="00F76843"/>
    <w:rsid w:val="00F776E1"/>
    <w:rsid w:val="00F80EFD"/>
    <w:rsid w:val="00F81F6A"/>
    <w:rsid w:val="00F925EB"/>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1">
    <w:name w:val="Mention1"/>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80FD1"/>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A2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450590809">
      <w:bodyDiv w:val="1"/>
      <w:marLeft w:val="0"/>
      <w:marRight w:val="0"/>
      <w:marTop w:val="0"/>
      <w:marBottom w:val="0"/>
      <w:divBdr>
        <w:top w:val="none" w:sz="0" w:space="0" w:color="auto"/>
        <w:left w:val="none" w:sz="0" w:space="0" w:color="auto"/>
        <w:bottom w:val="none" w:sz="0" w:space="0" w:color="auto"/>
        <w:right w:val="none" w:sz="0" w:space="0" w:color="auto"/>
      </w:divBdr>
      <w:divsChild>
        <w:div w:id="1833835382">
          <w:marLeft w:val="0"/>
          <w:marRight w:val="0"/>
          <w:marTop w:val="0"/>
          <w:marBottom w:val="0"/>
          <w:divBdr>
            <w:top w:val="none" w:sz="0" w:space="0" w:color="auto"/>
            <w:left w:val="none" w:sz="0" w:space="0" w:color="auto"/>
            <w:bottom w:val="none" w:sz="0" w:space="0" w:color="auto"/>
            <w:right w:val="none" w:sz="0" w:space="0" w:color="auto"/>
          </w:divBdr>
        </w:div>
        <w:div w:id="2067415976">
          <w:marLeft w:val="0"/>
          <w:marRight w:val="0"/>
          <w:marTop w:val="0"/>
          <w:marBottom w:val="0"/>
          <w:divBdr>
            <w:top w:val="none" w:sz="0" w:space="0" w:color="auto"/>
            <w:left w:val="none" w:sz="0" w:space="0" w:color="auto"/>
            <w:bottom w:val="none" w:sz="0" w:space="0" w:color="auto"/>
            <w:right w:val="none" w:sz="0" w:space="0" w:color="auto"/>
          </w:divBdr>
        </w:div>
      </w:divsChild>
    </w:div>
    <w:div w:id="1945262921">
      <w:bodyDiv w:val="1"/>
      <w:marLeft w:val="0"/>
      <w:marRight w:val="0"/>
      <w:marTop w:val="0"/>
      <w:marBottom w:val="0"/>
      <w:divBdr>
        <w:top w:val="none" w:sz="0" w:space="0" w:color="auto"/>
        <w:left w:val="none" w:sz="0" w:space="0" w:color="auto"/>
        <w:bottom w:val="none" w:sz="0" w:space="0" w:color="auto"/>
        <w:right w:val="none" w:sz="0" w:space="0" w:color="auto"/>
      </w:divBdr>
      <w:divsChild>
        <w:div w:id="154884325">
          <w:marLeft w:val="0"/>
          <w:marRight w:val="0"/>
          <w:marTop w:val="0"/>
          <w:marBottom w:val="0"/>
          <w:divBdr>
            <w:top w:val="none" w:sz="0" w:space="0" w:color="auto"/>
            <w:left w:val="none" w:sz="0" w:space="0" w:color="auto"/>
            <w:bottom w:val="none" w:sz="0" w:space="0" w:color="auto"/>
            <w:right w:val="none" w:sz="0" w:space="0" w:color="auto"/>
          </w:divBdr>
        </w:div>
        <w:div w:id="1598633423">
          <w:marLeft w:val="0"/>
          <w:marRight w:val="0"/>
          <w:marTop w:val="0"/>
          <w:marBottom w:val="0"/>
          <w:divBdr>
            <w:top w:val="none" w:sz="0" w:space="0" w:color="auto"/>
            <w:left w:val="none" w:sz="0" w:space="0" w:color="auto"/>
            <w:bottom w:val="none" w:sz="0" w:space="0" w:color="auto"/>
            <w:right w:val="none" w:sz="0" w:space="0" w:color="auto"/>
          </w:divBdr>
        </w:div>
        <w:div w:id="1557861517">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sChild>
            <w:div w:id="1612005096">
              <w:marLeft w:val="0"/>
              <w:marRight w:val="0"/>
              <w:marTop w:val="0"/>
              <w:marBottom w:val="0"/>
              <w:divBdr>
                <w:top w:val="none" w:sz="0" w:space="0" w:color="auto"/>
                <w:left w:val="none" w:sz="0" w:space="0" w:color="auto"/>
                <w:bottom w:val="none" w:sz="0" w:space="0" w:color="auto"/>
                <w:right w:val="none" w:sz="0" w:space="0" w:color="auto"/>
              </w:divBdr>
            </w:div>
            <w:div w:id="1976980455">
              <w:marLeft w:val="0"/>
              <w:marRight w:val="0"/>
              <w:marTop w:val="0"/>
              <w:marBottom w:val="0"/>
              <w:divBdr>
                <w:top w:val="none" w:sz="0" w:space="0" w:color="auto"/>
                <w:left w:val="none" w:sz="0" w:space="0" w:color="auto"/>
                <w:bottom w:val="none" w:sz="0" w:space="0" w:color="auto"/>
                <w:right w:val="none" w:sz="0" w:space="0" w:color="auto"/>
              </w:divBdr>
            </w:div>
            <w:div w:id="1975599029">
              <w:marLeft w:val="0"/>
              <w:marRight w:val="0"/>
              <w:marTop w:val="0"/>
              <w:marBottom w:val="0"/>
              <w:divBdr>
                <w:top w:val="none" w:sz="0" w:space="0" w:color="auto"/>
                <w:left w:val="none" w:sz="0" w:space="0" w:color="auto"/>
                <w:bottom w:val="none" w:sz="0" w:space="0" w:color="auto"/>
                <w:right w:val="none" w:sz="0" w:space="0" w:color="auto"/>
              </w:divBdr>
            </w:div>
            <w:div w:id="3314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ationendowmentfoundation.org.uk/educationevidence/teaching-learning-toolkit/aspi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2623</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J Burgoyne (Tottington Staff)</cp:lastModifiedBy>
  <cp:revision>2</cp:revision>
  <cp:lastPrinted>2023-09-18T15:15:00Z</cp:lastPrinted>
  <dcterms:created xsi:type="dcterms:W3CDTF">2023-10-02T02:27:00Z</dcterms:created>
  <dcterms:modified xsi:type="dcterms:W3CDTF">2023-10-02T02:27:00Z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